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eastAsiaTheme="minorEastAsia"/>
          <w:b/>
          <w:sz w:val="32"/>
          <w:szCs w:val="32"/>
          <w:lang w:val="en-US" w:eastAsia="zh-CN"/>
        </w:rPr>
      </w:pPr>
      <w:r>
        <w:rPr>
          <w:rFonts w:hint="eastAsia" w:asciiTheme="minorEastAsia" w:hAnsiTheme="minorEastAsia" w:eastAsiaTheme="minorEastAsia"/>
          <w:b/>
          <w:sz w:val="32"/>
          <w:szCs w:val="32"/>
          <w:lang w:val="zh-CN"/>
        </w:rPr>
        <w:t>常州市新北区小河中心小学创客实验室</w:t>
      </w:r>
      <w:r>
        <w:rPr>
          <w:rFonts w:hint="eastAsia" w:asciiTheme="minorEastAsia" w:hAnsiTheme="minorEastAsia" w:eastAsiaTheme="minorEastAsia"/>
          <w:b/>
          <w:sz w:val="32"/>
          <w:szCs w:val="32"/>
        </w:rPr>
        <w:t>合同</w:t>
      </w:r>
      <w:r>
        <w:rPr>
          <w:rFonts w:hint="eastAsia" w:asciiTheme="minorEastAsia" w:hAnsiTheme="minorEastAsia" w:eastAsiaTheme="minorEastAsia"/>
          <w:b/>
          <w:sz w:val="32"/>
          <w:szCs w:val="32"/>
          <w:lang w:val="en-US" w:eastAsia="zh-CN"/>
        </w:rPr>
        <w:t xml:space="preserve"> </w:t>
      </w:r>
    </w:p>
    <w:p>
      <w:pPr>
        <w:pStyle w:val="2"/>
        <w:rPr>
          <w:rFonts w:hint="eastAsia"/>
          <w:lang w:val="en-US" w:eastAsia="zh-CN"/>
        </w:rPr>
      </w:pPr>
    </w:p>
    <w:p>
      <w:pPr>
        <w:snapToGrid w:val="0"/>
        <w:jc w:val="both"/>
        <w:rPr>
          <w:rFonts w:asciiTheme="minorEastAsia" w:hAnsiTheme="minorEastAsia" w:eastAsiaTheme="minorEastAsia"/>
          <w:szCs w:val="21"/>
        </w:rPr>
      </w:pPr>
      <w:r>
        <w:rPr>
          <w:rFonts w:hint="eastAsia" w:hAnsi="宋体"/>
          <w:sz w:val="21"/>
          <w:szCs w:val="21"/>
        </w:rPr>
        <w:t>甲方:</w:t>
      </w:r>
      <w:r>
        <w:rPr>
          <w:rFonts w:hint="eastAsia" w:hAnsi="宋体"/>
          <w:sz w:val="21"/>
          <w:szCs w:val="21"/>
          <w:lang w:val="en-US" w:eastAsia="zh-CN"/>
        </w:rPr>
        <w:t xml:space="preserve"> </w:t>
      </w:r>
      <w:r>
        <w:rPr>
          <w:rFonts w:ascii="宋体" w:hAnsi="宋体"/>
          <w:szCs w:val="21"/>
        </w:rPr>
        <w:t>常州市</w:t>
      </w:r>
      <w:r>
        <w:rPr>
          <w:rFonts w:hint="eastAsia" w:ascii="宋体" w:hAnsi="宋体"/>
          <w:szCs w:val="21"/>
        </w:rPr>
        <w:t>新北区小河中心小学</w:t>
      </w:r>
      <w:r>
        <w:rPr>
          <w:rFonts w:hint="eastAsia" w:hAnsi="宋体"/>
          <w:szCs w:val="21"/>
          <w:lang w:val="en-US" w:eastAsia="zh-CN"/>
        </w:rPr>
        <w:t xml:space="preserve">   </w:t>
      </w:r>
      <w:r>
        <w:rPr>
          <w:rFonts w:hint="eastAsia" w:hAnsi="宋体"/>
          <w:sz w:val="21"/>
          <w:szCs w:val="21"/>
        </w:rPr>
        <w:t>合同编号：</w:t>
      </w:r>
      <w:r>
        <w:rPr>
          <w:rFonts w:hint="eastAsia" w:asciiTheme="minorEastAsia" w:hAnsiTheme="minorEastAsia" w:eastAsiaTheme="minorEastAsia"/>
          <w:szCs w:val="21"/>
        </w:rPr>
        <w:t>常采竞[2019]0234号</w:t>
      </w:r>
    </w:p>
    <w:p>
      <w:pPr>
        <w:pStyle w:val="4"/>
        <w:spacing w:line="420" w:lineRule="exact"/>
        <w:rPr>
          <w:rFonts w:hint="eastAsia" w:hAnsi="宋体" w:eastAsia="宋体"/>
          <w:sz w:val="21"/>
          <w:szCs w:val="21"/>
          <w:u w:val="single"/>
          <w:lang w:val="en-US" w:eastAsia="zh-CN"/>
        </w:rPr>
      </w:pPr>
      <w:r>
        <w:rPr>
          <w:rFonts w:hint="eastAsia" w:hAnsi="宋体"/>
          <w:sz w:val="21"/>
          <w:szCs w:val="21"/>
        </w:rPr>
        <w:t xml:space="preserve">乙方: 无锡朗盛信息技术有限公司  </w:t>
      </w:r>
      <w:r>
        <w:rPr>
          <w:rFonts w:hint="eastAsia" w:hAnsi="宋体"/>
          <w:sz w:val="21"/>
          <w:szCs w:val="21"/>
          <w:lang w:val="en-US" w:eastAsia="zh-CN"/>
        </w:rPr>
        <w:t xml:space="preserve"> </w:t>
      </w:r>
      <w:r>
        <w:rPr>
          <w:rFonts w:hint="eastAsia" w:hAnsi="宋体"/>
          <w:sz w:val="21"/>
          <w:szCs w:val="21"/>
        </w:rPr>
        <w:t>签订地点：</w:t>
      </w:r>
      <w:r>
        <w:rPr>
          <w:rFonts w:hint="eastAsia" w:hAnsi="宋体"/>
          <w:sz w:val="21"/>
          <w:szCs w:val="21"/>
          <w:lang w:val="en-US" w:eastAsia="zh-CN"/>
        </w:rPr>
        <w:t>常州市</w:t>
      </w:r>
    </w:p>
    <w:p>
      <w:pPr>
        <w:pStyle w:val="4"/>
        <w:spacing w:line="420" w:lineRule="exact"/>
        <w:ind w:firstLine="5145" w:firstLineChars="2450"/>
        <w:rPr>
          <w:rFonts w:hAnsi="宋体"/>
          <w:sz w:val="21"/>
          <w:szCs w:val="21"/>
          <w:u w:val="single"/>
        </w:rPr>
      </w:pPr>
      <w:r>
        <w:rPr>
          <w:rFonts w:hint="eastAsia" w:hAnsi="宋体"/>
          <w:sz w:val="21"/>
          <w:szCs w:val="21"/>
        </w:rPr>
        <w:t xml:space="preserve">合同时间: </w:t>
      </w:r>
      <w:r>
        <w:rPr>
          <w:rFonts w:hint="eastAsia" w:hAnsi="宋体"/>
          <w:sz w:val="21"/>
          <w:szCs w:val="21"/>
          <w:u w:val="single"/>
        </w:rPr>
        <w:t>2019</w:t>
      </w:r>
      <w:r>
        <w:rPr>
          <w:rFonts w:hint="eastAsia" w:hAnsi="宋体"/>
          <w:sz w:val="21"/>
          <w:szCs w:val="21"/>
          <w:u w:val="single"/>
          <w:lang w:val="en-US" w:eastAsia="zh-CN"/>
        </w:rPr>
        <w:t xml:space="preserve"> </w:t>
      </w:r>
      <w:r>
        <w:rPr>
          <w:rFonts w:hint="eastAsia" w:hAnsi="宋体"/>
          <w:sz w:val="21"/>
          <w:szCs w:val="21"/>
          <w:u w:val="single"/>
        </w:rPr>
        <w:t>年</w:t>
      </w:r>
      <w:r>
        <w:rPr>
          <w:rFonts w:hint="eastAsia" w:hAnsi="宋体"/>
          <w:sz w:val="21"/>
          <w:szCs w:val="21"/>
          <w:u w:val="single"/>
          <w:lang w:val="en-US" w:eastAsia="zh-CN"/>
        </w:rPr>
        <w:t>11</w:t>
      </w:r>
      <w:r>
        <w:rPr>
          <w:rFonts w:hint="eastAsia" w:hAnsi="宋体"/>
          <w:sz w:val="21"/>
          <w:szCs w:val="21"/>
          <w:u w:val="single"/>
        </w:rPr>
        <w:t xml:space="preserve"> 月</w:t>
      </w:r>
      <w:r>
        <w:rPr>
          <w:rFonts w:hint="eastAsia" w:hAnsi="宋体"/>
          <w:sz w:val="21"/>
          <w:szCs w:val="21"/>
          <w:u w:val="single"/>
          <w:lang w:val="en-US" w:eastAsia="zh-CN"/>
        </w:rPr>
        <w:t>13</w:t>
      </w:r>
      <w:r>
        <w:rPr>
          <w:rFonts w:hint="eastAsia" w:hAnsi="宋体"/>
          <w:sz w:val="21"/>
          <w:szCs w:val="21"/>
          <w:u w:val="single"/>
        </w:rPr>
        <w:t xml:space="preserve"> 日</w:t>
      </w:r>
    </w:p>
    <w:p>
      <w:pPr>
        <w:pStyle w:val="4"/>
        <w:spacing w:line="360" w:lineRule="auto"/>
        <w:ind w:firstLine="417" w:firstLineChars="199"/>
        <w:rPr>
          <w:rFonts w:hAnsi="宋体"/>
          <w:sz w:val="21"/>
          <w:szCs w:val="21"/>
        </w:rPr>
      </w:pPr>
      <w:r>
        <w:rPr>
          <w:rFonts w:hint="eastAsia" w:hAnsi="宋体"/>
          <w:sz w:val="21"/>
          <w:szCs w:val="21"/>
        </w:rPr>
        <w:t>依据《中华人民共和国合同法》以及有关法律、法规的规定，甲方、乙方经协商一致，订立本合同。</w:t>
      </w:r>
    </w:p>
    <w:p>
      <w:pPr>
        <w:pStyle w:val="4"/>
        <w:spacing w:line="360" w:lineRule="auto"/>
        <w:ind w:left="-481" w:leftChars="-229" w:firstLine="630" w:firstLineChars="300"/>
        <w:rPr>
          <w:rFonts w:hint="default" w:hAnsi="宋体" w:eastAsia="宋体"/>
          <w:sz w:val="21"/>
          <w:szCs w:val="21"/>
          <w:lang w:val="en-US" w:eastAsia="zh-CN"/>
        </w:rPr>
      </w:pPr>
      <w:r>
        <w:rPr>
          <w:rFonts w:hint="eastAsia" w:hAnsi="宋体"/>
          <w:sz w:val="21"/>
          <w:szCs w:val="21"/>
        </w:rPr>
        <w:t>一、 合同标的之名称、型号、规格、数量</w:t>
      </w:r>
      <w:r>
        <w:rPr>
          <w:rFonts w:hint="eastAsia" w:hAnsi="宋体"/>
          <w:sz w:val="21"/>
          <w:szCs w:val="21"/>
          <w:lang w:eastAsia="zh-CN"/>
        </w:rPr>
        <w:t>、</w:t>
      </w:r>
      <w:r>
        <w:rPr>
          <w:rFonts w:hint="eastAsia" w:hAnsi="宋体"/>
          <w:sz w:val="21"/>
          <w:szCs w:val="21"/>
          <w:lang w:val="en-US" w:eastAsia="zh-CN"/>
        </w:rPr>
        <w:t>价格；</w:t>
      </w:r>
    </w:p>
    <w:tbl>
      <w:tblPr>
        <w:tblStyle w:val="7"/>
        <w:tblW w:w="556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0"/>
        <w:gridCol w:w="2630"/>
        <w:gridCol w:w="1150"/>
        <w:gridCol w:w="1350"/>
        <w:gridCol w:w="680"/>
        <w:gridCol w:w="750"/>
        <w:gridCol w:w="980"/>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311" w:type="pct"/>
            <w:vMerge w:val="restar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序号</w:t>
            </w:r>
          </w:p>
        </w:tc>
        <w:tc>
          <w:tcPr>
            <w:tcW w:w="1387" w:type="pct"/>
            <w:vMerge w:val="restar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 w:val="20"/>
                <w:szCs w:val="20"/>
              </w:rPr>
              <w:t>名称</w:t>
            </w:r>
          </w:p>
        </w:tc>
        <w:tc>
          <w:tcPr>
            <w:tcW w:w="606" w:type="pct"/>
            <w:vMerge w:val="restart"/>
            <w:noWrap w:val="0"/>
            <w:vAlign w:val="center"/>
          </w:tcPr>
          <w:p>
            <w:pPr>
              <w:widowControl/>
              <w:snapToGrid w:val="0"/>
              <w:spacing w:line="360" w:lineRule="auto"/>
              <w:jc w:val="center"/>
              <w:rPr>
                <w:rFonts w:hint="eastAsia" w:ascii="宋体" w:hAnsi="宋体" w:cs="宋体"/>
                <w:kern w:val="0"/>
                <w:szCs w:val="21"/>
              </w:rPr>
            </w:pPr>
            <w:r>
              <w:rPr>
                <w:rFonts w:hint="eastAsia" w:ascii="宋体" w:hAnsi="宋体" w:cs="宋体"/>
                <w:kern w:val="0"/>
                <w:szCs w:val="21"/>
              </w:rPr>
              <w:t>品牌</w:t>
            </w:r>
          </w:p>
        </w:tc>
        <w:tc>
          <w:tcPr>
            <w:tcW w:w="712" w:type="pct"/>
            <w:vMerge w:val="restart"/>
            <w:noWrap w:val="0"/>
            <w:vAlign w:val="center"/>
          </w:tcPr>
          <w:p>
            <w:pPr>
              <w:widowControl/>
              <w:snapToGrid w:val="0"/>
              <w:spacing w:line="360" w:lineRule="auto"/>
              <w:jc w:val="center"/>
              <w:rPr>
                <w:rFonts w:hint="eastAsia" w:ascii="宋体" w:hAnsi="宋体" w:cs="宋体"/>
                <w:kern w:val="0"/>
                <w:szCs w:val="21"/>
              </w:rPr>
            </w:pPr>
            <w:r>
              <w:rPr>
                <w:rFonts w:hint="eastAsia" w:ascii="宋体" w:hAnsi="宋体" w:cs="宋体"/>
                <w:kern w:val="0"/>
                <w:szCs w:val="21"/>
              </w:rPr>
              <w:t>规格型号</w:t>
            </w:r>
          </w:p>
        </w:tc>
        <w:tc>
          <w:tcPr>
            <w:tcW w:w="358" w:type="pct"/>
            <w:vMerge w:val="restart"/>
            <w:noWrap w:val="0"/>
            <w:vAlign w:val="center"/>
          </w:tcPr>
          <w:p>
            <w:pPr>
              <w:widowControl/>
              <w:snapToGrid w:val="0"/>
              <w:spacing w:line="360" w:lineRule="auto"/>
              <w:jc w:val="center"/>
              <w:rPr>
                <w:rFonts w:hint="eastAsia" w:ascii="宋体" w:hAnsi="宋体" w:cs="宋体"/>
                <w:kern w:val="0"/>
                <w:szCs w:val="21"/>
              </w:rPr>
            </w:pPr>
            <w:r>
              <w:rPr>
                <w:rFonts w:hint="eastAsia" w:ascii="宋体" w:hAnsi="宋体" w:cs="宋体"/>
                <w:kern w:val="0"/>
                <w:szCs w:val="21"/>
              </w:rPr>
              <w:t>数量</w:t>
            </w:r>
          </w:p>
        </w:tc>
        <w:tc>
          <w:tcPr>
            <w:tcW w:w="395" w:type="pct"/>
            <w:vMerge w:val="restart"/>
            <w:noWrap w:val="0"/>
            <w:vAlign w:val="center"/>
          </w:tcPr>
          <w:p>
            <w:pPr>
              <w:widowControl/>
              <w:snapToGrid w:val="0"/>
              <w:spacing w:line="360" w:lineRule="auto"/>
              <w:jc w:val="center"/>
              <w:rPr>
                <w:rFonts w:hint="eastAsia" w:ascii="宋体" w:hAnsi="宋体" w:cs="宋体"/>
                <w:kern w:val="0"/>
                <w:szCs w:val="21"/>
              </w:rPr>
            </w:pPr>
            <w:r>
              <w:rPr>
                <w:rFonts w:hint="eastAsia" w:ascii="宋体" w:hAnsi="宋体" w:cs="宋体"/>
                <w:kern w:val="0"/>
                <w:szCs w:val="21"/>
              </w:rPr>
              <w:t>单位</w:t>
            </w:r>
          </w:p>
        </w:tc>
        <w:tc>
          <w:tcPr>
            <w:tcW w:w="1228" w:type="pct"/>
            <w:gridSpan w:val="2"/>
            <w:noWrap w:val="0"/>
            <w:vAlign w:val="center"/>
          </w:tcPr>
          <w:p>
            <w:pPr>
              <w:widowControl/>
              <w:snapToGrid w:val="0"/>
              <w:spacing w:line="360" w:lineRule="auto"/>
              <w:jc w:val="center"/>
              <w:rPr>
                <w:rFonts w:hint="eastAsia" w:ascii="宋体" w:hAnsi="宋体" w:cs="宋体"/>
                <w:kern w:val="0"/>
                <w:szCs w:val="21"/>
              </w:rPr>
            </w:pPr>
            <w:r>
              <w:rPr>
                <w:rFonts w:hint="eastAsia" w:ascii="宋体" w:hAnsi="宋体" w:cs="宋体"/>
                <w:kern w:val="0"/>
                <w:szCs w:val="21"/>
              </w:rPr>
              <w:t>供应商民币价格（元）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311" w:type="pct"/>
            <w:vMerge w:val="continue"/>
            <w:noWrap w:val="0"/>
            <w:vAlign w:val="center"/>
          </w:tcPr>
          <w:p>
            <w:pPr>
              <w:widowControl/>
              <w:snapToGrid w:val="0"/>
              <w:spacing w:line="360" w:lineRule="auto"/>
              <w:jc w:val="center"/>
              <w:rPr>
                <w:rFonts w:hint="eastAsia" w:ascii="宋体" w:hAnsi="宋体" w:cs="宋体"/>
                <w:kern w:val="0"/>
                <w:szCs w:val="21"/>
              </w:rPr>
            </w:pPr>
          </w:p>
        </w:tc>
        <w:tc>
          <w:tcPr>
            <w:tcW w:w="1387" w:type="pct"/>
            <w:vMerge w:val="continue"/>
            <w:noWrap w:val="0"/>
            <w:vAlign w:val="center"/>
          </w:tcPr>
          <w:p>
            <w:pPr>
              <w:widowControl/>
              <w:snapToGrid w:val="0"/>
              <w:spacing w:line="360" w:lineRule="auto"/>
              <w:jc w:val="center"/>
              <w:rPr>
                <w:rFonts w:hint="eastAsia" w:ascii="宋体" w:hAnsi="宋体" w:cs="宋体"/>
                <w:kern w:val="0"/>
                <w:szCs w:val="21"/>
              </w:rPr>
            </w:pPr>
          </w:p>
        </w:tc>
        <w:tc>
          <w:tcPr>
            <w:tcW w:w="606" w:type="pct"/>
            <w:vMerge w:val="continue"/>
            <w:noWrap w:val="0"/>
            <w:vAlign w:val="center"/>
          </w:tcPr>
          <w:p>
            <w:pPr>
              <w:widowControl/>
              <w:snapToGrid w:val="0"/>
              <w:spacing w:line="360" w:lineRule="auto"/>
              <w:jc w:val="center"/>
              <w:rPr>
                <w:rFonts w:hint="eastAsia" w:ascii="宋体" w:hAnsi="宋体" w:cs="宋体"/>
                <w:kern w:val="0"/>
                <w:szCs w:val="21"/>
              </w:rPr>
            </w:pPr>
          </w:p>
        </w:tc>
        <w:tc>
          <w:tcPr>
            <w:tcW w:w="712" w:type="pct"/>
            <w:vMerge w:val="continue"/>
            <w:noWrap w:val="0"/>
            <w:vAlign w:val="center"/>
          </w:tcPr>
          <w:p>
            <w:pPr>
              <w:widowControl/>
              <w:snapToGrid w:val="0"/>
              <w:spacing w:line="360" w:lineRule="auto"/>
              <w:jc w:val="center"/>
              <w:rPr>
                <w:rFonts w:hint="eastAsia" w:ascii="宋体" w:hAnsi="宋体" w:cs="宋体"/>
                <w:kern w:val="0"/>
                <w:szCs w:val="21"/>
              </w:rPr>
            </w:pPr>
          </w:p>
        </w:tc>
        <w:tc>
          <w:tcPr>
            <w:tcW w:w="358" w:type="pct"/>
            <w:vMerge w:val="continue"/>
            <w:noWrap w:val="0"/>
            <w:vAlign w:val="center"/>
          </w:tcPr>
          <w:p>
            <w:pPr>
              <w:widowControl/>
              <w:snapToGrid w:val="0"/>
              <w:spacing w:line="360" w:lineRule="auto"/>
              <w:jc w:val="center"/>
              <w:rPr>
                <w:rFonts w:hint="eastAsia" w:ascii="宋体" w:hAnsi="宋体" w:cs="宋体"/>
                <w:kern w:val="0"/>
                <w:szCs w:val="21"/>
              </w:rPr>
            </w:pPr>
          </w:p>
        </w:tc>
        <w:tc>
          <w:tcPr>
            <w:tcW w:w="395" w:type="pct"/>
            <w:vMerge w:val="continue"/>
            <w:noWrap w:val="0"/>
            <w:vAlign w:val="center"/>
          </w:tcPr>
          <w:p>
            <w:pPr>
              <w:widowControl/>
              <w:snapToGrid w:val="0"/>
              <w:spacing w:line="360" w:lineRule="auto"/>
              <w:jc w:val="center"/>
              <w:rPr>
                <w:rFonts w:hint="eastAsia" w:ascii="宋体" w:hAnsi="宋体" w:cs="宋体"/>
                <w:kern w:val="0"/>
                <w:szCs w:val="21"/>
              </w:rPr>
            </w:pPr>
          </w:p>
        </w:tc>
        <w:tc>
          <w:tcPr>
            <w:tcW w:w="516" w:type="pct"/>
            <w:noWrap w:val="0"/>
            <w:vAlign w:val="center"/>
          </w:tcPr>
          <w:p>
            <w:pPr>
              <w:widowControl/>
              <w:snapToGrid w:val="0"/>
              <w:spacing w:line="360" w:lineRule="auto"/>
              <w:jc w:val="center"/>
              <w:rPr>
                <w:rFonts w:hint="eastAsia" w:ascii="宋体" w:hAnsi="宋体" w:cs="宋体"/>
                <w:kern w:val="0"/>
                <w:szCs w:val="21"/>
              </w:rPr>
            </w:pPr>
            <w:r>
              <w:rPr>
                <w:rFonts w:hint="eastAsia" w:ascii="宋体" w:hAnsi="宋体" w:cs="宋体"/>
                <w:kern w:val="0"/>
                <w:szCs w:val="21"/>
              </w:rPr>
              <w:t>单价</w:t>
            </w:r>
          </w:p>
        </w:tc>
        <w:tc>
          <w:tcPr>
            <w:tcW w:w="712" w:type="pct"/>
            <w:noWrap w:val="0"/>
            <w:vAlign w:val="center"/>
          </w:tcPr>
          <w:p>
            <w:pPr>
              <w:widowControl/>
              <w:snapToGrid w:val="0"/>
              <w:spacing w:line="360" w:lineRule="auto"/>
              <w:jc w:val="center"/>
              <w:rPr>
                <w:rFonts w:hint="eastAsia" w:ascii="宋体" w:hAnsi="宋体" w:cs="宋体"/>
                <w:kern w:val="0"/>
                <w:szCs w:val="21"/>
              </w:rPr>
            </w:pPr>
            <w:r>
              <w:rPr>
                <w:rFonts w:hint="eastAsia" w:ascii="宋体" w:hAnsi="宋体" w:cs="宋体"/>
                <w:kern w:val="0"/>
                <w:szCs w:val="21"/>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11"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w:t>
            </w:r>
          </w:p>
        </w:tc>
        <w:tc>
          <w:tcPr>
            <w:tcW w:w="1387" w:type="pct"/>
            <w:noWrap w:val="0"/>
            <w:vAlign w:val="center"/>
          </w:tcPr>
          <w:p>
            <w:pPr>
              <w:widowControl/>
              <w:jc w:val="center"/>
              <w:textAlignment w:val="center"/>
              <w:rPr>
                <w:rFonts w:hint="eastAsia" w:ascii="宋体" w:hAnsi="宋体" w:cs="宋体"/>
                <w:b/>
                <w:bCs/>
                <w:kern w:val="0"/>
                <w:szCs w:val="21"/>
              </w:rPr>
            </w:pPr>
            <w:r>
              <w:rPr>
                <w:rFonts w:hint="eastAsia" w:ascii="宋体" w:hAnsi="宋体" w:cs="宋体"/>
                <w:color w:val="000000"/>
                <w:kern w:val="0"/>
                <w:sz w:val="20"/>
                <w:szCs w:val="20"/>
              </w:rPr>
              <w:t>遥感机动电能赛车基础研学与创新实践套装</w:t>
            </w:r>
          </w:p>
        </w:tc>
        <w:tc>
          <w:tcPr>
            <w:tcW w:w="60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MEV</w:t>
            </w:r>
          </w:p>
        </w:tc>
        <w:tc>
          <w:tcPr>
            <w:tcW w:w="712" w:type="pct"/>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bidi="ar"/>
              </w:rPr>
              <w:t>MEV19001</w:t>
            </w:r>
          </w:p>
        </w:tc>
        <w:tc>
          <w:tcPr>
            <w:tcW w:w="358"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4</w:t>
            </w:r>
          </w:p>
        </w:tc>
        <w:tc>
          <w:tcPr>
            <w:tcW w:w="395"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套</w:t>
            </w:r>
          </w:p>
        </w:tc>
        <w:tc>
          <w:tcPr>
            <w:tcW w:w="51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9,800.00</w:t>
            </w:r>
          </w:p>
        </w:tc>
        <w:tc>
          <w:tcPr>
            <w:tcW w:w="712"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39,200.00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11"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2</w:t>
            </w:r>
          </w:p>
        </w:tc>
        <w:tc>
          <w:tcPr>
            <w:tcW w:w="1387" w:type="pct"/>
            <w:noWrap w:val="0"/>
            <w:vAlign w:val="center"/>
          </w:tcPr>
          <w:p>
            <w:pPr>
              <w:widowControl/>
              <w:jc w:val="center"/>
              <w:textAlignment w:val="center"/>
              <w:rPr>
                <w:rFonts w:hint="eastAsia" w:ascii="宋体" w:hAnsi="宋体" w:cs="宋体"/>
                <w:b/>
                <w:bCs/>
                <w:kern w:val="0"/>
                <w:szCs w:val="21"/>
              </w:rPr>
            </w:pPr>
            <w:r>
              <w:rPr>
                <w:rFonts w:hint="eastAsia" w:ascii="宋体" w:hAnsi="宋体" w:cs="宋体"/>
                <w:color w:val="000000"/>
                <w:kern w:val="0"/>
                <w:sz w:val="20"/>
                <w:szCs w:val="20"/>
              </w:rPr>
              <w:t>遥感机动电能赛车初阶设计研学套装</w:t>
            </w:r>
          </w:p>
        </w:tc>
        <w:tc>
          <w:tcPr>
            <w:tcW w:w="60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MEV</w:t>
            </w:r>
          </w:p>
        </w:tc>
        <w:tc>
          <w:tcPr>
            <w:tcW w:w="712" w:type="pct"/>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bidi="ar"/>
              </w:rPr>
              <w:t>MEV19101</w:t>
            </w:r>
          </w:p>
        </w:tc>
        <w:tc>
          <w:tcPr>
            <w:tcW w:w="358"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4</w:t>
            </w:r>
          </w:p>
        </w:tc>
        <w:tc>
          <w:tcPr>
            <w:tcW w:w="395"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套</w:t>
            </w:r>
          </w:p>
        </w:tc>
        <w:tc>
          <w:tcPr>
            <w:tcW w:w="51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3,500.00</w:t>
            </w:r>
          </w:p>
        </w:tc>
        <w:tc>
          <w:tcPr>
            <w:tcW w:w="712"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11"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3</w:t>
            </w:r>
          </w:p>
        </w:tc>
        <w:tc>
          <w:tcPr>
            <w:tcW w:w="1387" w:type="pct"/>
            <w:noWrap w:val="0"/>
            <w:vAlign w:val="center"/>
          </w:tcPr>
          <w:p>
            <w:pPr>
              <w:widowControl/>
              <w:jc w:val="center"/>
              <w:textAlignment w:val="center"/>
              <w:rPr>
                <w:rFonts w:hint="eastAsia" w:ascii="宋体" w:hAnsi="宋体" w:cs="宋体"/>
                <w:b/>
                <w:bCs/>
                <w:kern w:val="0"/>
                <w:szCs w:val="21"/>
              </w:rPr>
            </w:pPr>
            <w:r>
              <w:rPr>
                <w:rFonts w:hint="eastAsia" w:ascii="宋体" w:hAnsi="宋体" w:cs="宋体"/>
                <w:color w:val="000000"/>
                <w:kern w:val="0"/>
                <w:sz w:val="20"/>
                <w:szCs w:val="20"/>
              </w:rPr>
              <w:t>遥感机动电能赛车专用赛车遥感现实（TR)驾驶控制系统</w:t>
            </w:r>
          </w:p>
        </w:tc>
        <w:tc>
          <w:tcPr>
            <w:tcW w:w="60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MEV</w:t>
            </w:r>
          </w:p>
        </w:tc>
        <w:tc>
          <w:tcPr>
            <w:tcW w:w="712" w:type="pct"/>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bidi="ar"/>
              </w:rPr>
              <w:t>MEV19006-D</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MEV19006-CP</w:t>
            </w:r>
          </w:p>
        </w:tc>
        <w:tc>
          <w:tcPr>
            <w:tcW w:w="358"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2</w:t>
            </w:r>
          </w:p>
        </w:tc>
        <w:tc>
          <w:tcPr>
            <w:tcW w:w="395"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套</w:t>
            </w:r>
          </w:p>
        </w:tc>
        <w:tc>
          <w:tcPr>
            <w:tcW w:w="51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15,000.00</w:t>
            </w:r>
          </w:p>
        </w:tc>
        <w:tc>
          <w:tcPr>
            <w:tcW w:w="712"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11"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4</w:t>
            </w:r>
          </w:p>
        </w:tc>
        <w:tc>
          <w:tcPr>
            <w:tcW w:w="1387" w:type="pct"/>
            <w:noWrap w:val="0"/>
            <w:vAlign w:val="center"/>
          </w:tcPr>
          <w:p>
            <w:pPr>
              <w:widowControl/>
              <w:jc w:val="center"/>
              <w:textAlignment w:val="center"/>
              <w:rPr>
                <w:rFonts w:hint="eastAsia" w:ascii="宋体" w:hAnsi="宋体" w:cs="宋体"/>
                <w:b/>
                <w:bCs/>
                <w:kern w:val="0"/>
                <w:szCs w:val="21"/>
              </w:rPr>
            </w:pPr>
            <w:r>
              <w:rPr>
                <w:rFonts w:hint="eastAsia" w:ascii="宋体" w:hAnsi="宋体" w:cs="宋体"/>
                <w:color w:val="000000"/>
                <w:kern w:val="0"/>
                <w:sz w:val="20"/>
                <w:szCs w:val="20"/>
              </w:rPr>
              <w:t>遥感机动电能赛车遥感现实(TR)模拟高清FPV显示系统</w:t>
            </w:r>
          </w:p>
        </w:tc>
        <w:tc>
          <w:tcPr>
            <w:tcW w:w="60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MEV</w:t>
            </w:r>
          </w:p>
        </w:tc>
        <w:tc>
          <w:tcPr>
            <w:tcW w:w="712" w:type="pct"/>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bidi="ar"/>
              </w:rPr>
              <w:t>MEV19007</w:t>
            </w:r>
          </w:p>
        </w:tc>
        <w:tc>
          <w:tcPr>
            <w:tcW w:w="358"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2</w:t>
            </w:r>
          </w:p>
        </w:tc>
        <w:tc>
          <w:tcPr>
            <w:tcW w:w="395"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套</w:t>
            </w:r>
          </w:p>
        </w:tc>
        <w:tc>
          <w:tcPr>
            <w:tcW w:w="51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18,000.00</w:t>
            </w:r>
          </w:p>
        </w:tc>
        <w:tc>
          <w:tcPr>
            <w:tcW w:w="712"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11"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5</w:t>
            </w:r>
          </w:p>
        </w:tc>
        <w:tc>
          <w:tcPr>
            <w:tcW w:w="1387" w:type="pct"/>
            <w:noWrap w:val="0"/>
            <w:vAlign w:val="center"/>
          </w:tcPr>
          <w:p>
            <w:pPr>
              <w:widowControl/>
              <w:jc w:val="center"/>
              <w:textAlignment w:val="center"/>
              <w:rPr>
                <w:rFonts w:hint="eastAsia" w:ascii="宋体" w:hAnsi="宋体" w:cs="宋体"/>
                <w:b/>
                <w:bCs/>
                <w:kern w:val="0"/>
                <w:szCs w:val="21"/>
              </w:rPr>
            </w:pPr>
            <w:r>
              <w:rPr>
                <w:rFonts w:hint="eastAsia" w:ascii="宋体" w:hAnsi="宋体" w:cs="宋体"/>
                <w:color w:val="000000"/>
                <w:kern w:val="0"/>
                <w:sz w:val="20"/>
                <w:szCs w:val="20"/>
              </w:rPr>
              <w:t>遥感机动电能赛车专用赛道</w:t>
            </w:r>
          </w:p>
        </w:tc>
        <w:tc>
          <w:tcPr>
            <w:tcW w:w="60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MEV</w:t>
            </w:r>
          </w:p>
        </w:tc>
        <w:tc>
          <w:tcPr>
            <w:tcW w:w="712" w:type="pct"/>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bidi="ar"/>
              </w:rPr>
              <w:t>MEV19009-N</w:t>
            </w:r>
          </w:p>
        </w:tc>
        <w:tc>
          <w:tcPr>
            <w:tcW w:w="358"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w:t>
            </w:r>
          </w:p>
        </w:tc>
        <w:tc>
          <w:tcPr>
            <w:tcW w:w="395"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套</w:t>
            </w:r>
          </w:p>
        </w:tc>
        <w:tc>
          <w:tcPr>
            <w:tcW w:w="516" w:type="pct"/>
            <w:noWrap w:val="0"/>
            <w:vAlign w:val="center"/>
          </w:tcPr>
          <w:p>
            <w:pPr>
              <w:widowControl/>
              <w:jc w:val="center"/>
              <w:textAlignment w:val="center"/>
              <w:rPr>
                <w:rFonts w:hint="default" w:ascii="宋体" w:hAnsi="宋体" w:eastAsia="宋体" w:cs="宋体"/>
                <w:kern w:val="0"/>
                <w:szCs w:val="21"/>
                <w:lang w:val="en-US" w:eastAsia="zh-CN"/>
              </w:rPr>
            </w:pPr>
            <w:r>
              <w:rPr>
                <w:rFonts w:hint="eastAsia" w:ascii="宋体" w:hAnsi="宋体" w:cs="宋体"/>
                <w:color w:val="000000"/>
                <w:kern w:val="0"/>
                <w:szCs w:val="21"/>
                <w:lang w:val="en-US" w:eastAsia="zh-CN" w:bidi="ar"/>
              </w:rPr>
              <w:t>73670.00</w:t>
            </w:r>
          </w:p>
        </w:tc>
        <w:tc>
          <w:tcPr>
            <w:tcW w:w="712"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val="en-US" w:eastAsia="zh-CN" w:bidi="ar"/>
              </w:rPr>
              <w:t>73670.00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11"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6</w:t>
            </w:r>
          </w:p>
        </w:tc>
        <w:tc>
          <w:tcPr>
            <w:tcW w:w="1387" w:type="pct"/>
            <w:noWrap w:val="0"/>
            <w:vAlign w:val="center"/>
          </w:tcPr>
          <w:p>
            <w:pPr>
              <w:widowControl/>
              <w:jc w:val="center"/>
              <w:textAlignment w:val="center"/>
              <w:rPr>
                <w:rFonts w:hint="eastAsia" w:ascii="宋体" w:hAnsi="宋体" w:cs="宋体"/>
                <w:b/>
                <w:bCs/>
                <w:kern w:val="0"/>
                <w:szCs w:val="21"/>
              </w:rPr>
            </w:pPr>
            <w:r>
              <w:rPr>
                <w:rFonts w:hint="eastAsia" w:ascii="宋体" w:hAnsi="宋体" w:cs="宋体"/>
                <w:color w:val="000000"/>
                <w:kern w:val="0"/>
                <w:sz w:val="20"/>
                <w:szCs w:val="20"/>
              </w:rPr>
              <w:t>电视机</w:t>
            </w:r>
          </w:p>
        </w:tc>
        <w:tc>
          <w:tcPr>
            <w:tcW w:w="60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TCL</w:t>
            </w:r>
          </w:p>
        </w:tc>
        <w:tc>
          <w:tcPr>
            <w:tcW w:w="712" w:type="pct"/>
            <w:noWrap w:val="0"/>
            <w:vAlign w:val="center"/>
          </w:tcPr>
          <w:p>
            <w:pPr>
              <w:widowControl/>
              <w:textAlignment w:val="center"/>
              <w:rPr>
                <w:rFonts w:hint="eastAsia" w:ascii="宋体" w:hAnsi="宋体" w:cs="宋体"/>
                <w:kern w:val="0"/>
                <w:szCs w:val="21"/>
              </w:rPr>
            </w:pPr>
            <w:r>
              <w:rPr>
                <w:rFonts w:hint="eastAsia" w:ascii="宋体" w:hAnsi="宋体" w:cs="宋体"/>
                <w:color w:val="000000"/>
                <w:kern w:val="0"/>
                <w:szCs w:val="21"/>
                <w:lang w:bidi="ar"/>
              </w:rPr>
              <w:t xml:space="preserve">55L680 </w:t>
            </w:r>
          </w:p>
        </w:tc>
        <w:tc>
          <w:tcPr>
            <w:tcW w:w="358"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2</w:t>
            </w:r>
          </w:p>
        </w:tc>
        <w:tc>
          <w:tcPr>
            <w:tcW w:w="395"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台</w:t>
            </w:r>
          </w:p>
        </w:tc>
        <w:tc>
          <w:tcPr>
            <w:tcW w:w="51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 xml:space="preserve">2500 </w:t>
            </w:r>
          </w:p>
        </w:tc>
        <w:tc>
          <w:tcPr>
            <w:tcW w:w="712"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11"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7</w:t>
            </w:r>
          </w:p>
        </w:tc>
        <w:tc>
          <w:tcPr>
            <w:tcW w:w="1387" w:type="pct"/>
            <w:noWrap w:val="0"/>
            <w:vAlign w:val="center"/>
          </w:tcPr>
          <w:p>
            <w:pPr>
              <w:widowControl/>
              <w:jc w:val="center"/>
              <w:textAlignment w:val="center"/>
              <w:rPr>
                <w:rFonts w:hint="eastAsia" w:ascii="宋体" w:hAnsi="宋体" w:cs="宋体"/>
                <w:b/>
                <w:bCs/>
                <w:kern w:val="0"/>
                <w:szCs w:val="21"/>
              </w:rPr>
            </w:pPr>
            <w:r>
              <w:rPr>
                <w:rFonts w:hint="eastAsia" w:ascii="宋体" w:hAnsi="宋体" w:cs="宋体"/>
                <w:color w:val="000000"/>
                <w:kern w:val="0"/>
                <w:sz w:val="20"/>
                <w:szCs w:val="20"/>
              </w:rPr>
              <w:t>电视机支架</w:t>
            </w:r>
          </w:p>
        </w:tc>
        <w:tc>
          <w:tcPr>
            <w:tcW w:w="60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支尔成</w:t>
            </w:r>
          </w:p>
        </w:tc>
        <w:tc>
          <w:tcPr>
            <w:tcW w:w="712" w:type="pct"/>
            <w:noWrap w:val="0"/>
            <w:vAlign w:val="center"/>
          </w:tcPr>
          <w:p>
            <w:pPr>
              <w:widowControl/>
              <w:textAlignment w:val="center"/>
              <w:rPr>
                <w:rFonts w:hint="eastAsia" w:ascii="宋体" w:hAnsi="宋体" w:cs="宋体"/>
                <w:kern w:val="0"/>
                <w:szCs w:val="21"/>
              </w:rPr>
            </w:pPr>
            <w:r>
              <w:rPr>
                <w:rFonts w:hint="eastAsia" w:ascii="宋体" w:hAnsi="宋体" w:cs="宋体"/>
                <w:color w:val="000000"/>
                <w:kern w:val="0"/>
                <w:szCs w:val="21"/>
                <w:lang w:bidi="ar"/>
              </w:rPr>
              <w:t>ML1500</w:t>
            </w:r>
          </w:p>
        </w:tc>
        <w:tc>
          <w:tcPr>
            <w:tcW w:w="358"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2</w:t>
            </w:r>
          </w:p>
        </w:tc>
        <w:tc>
          <w:tcPr>
            <w:tcW w:w="395"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套</w:t>
            </w:r>
          </w:p>
        </w:tc>
        <w:tc>
          <w:tcPr>
            <w:tcW w:w="51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 xml:space="preserve">399 </w:t>
            </w:r>
          </w:p>
        </w:tc>
        <w:tc>
          <w:tcPr>
            <w:tcW w:w="712"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798.00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11"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8</w:t>
            </w:r>
          </w:p>
        </w:tc>
        <w:tc>
          <w:tcPr>
            <w:tcW w:w="1387" w:type="pct"/>
            <w:noWrap w:val="0"/>
            <w:vAlign w:val="center"/>
          </w:tcPr>
          <w:p>
            <w:pPr>
              <w:widowControl/>
              <w:jc w:val="center"/>
              <w:textAlignment w:val="center"/>
              <w:rPr>
                <w:rFonts w:hint="eastAsia" w:ascii="宋体" w:hAnsi="宋体" w:cs="宋体"/>
                <w:b/>
                <w:bCs/>
                <w:kern w:val="0"/>
                <w:szCs w:val="21"/>
              </w:rPr>
            </w:pPr>
            <w:r>
              <w:rPr>
                <w:rFonts w:hint="eastAsia" w:ascii="宋体" w:hAnsi="宋体" w:cs="宋体"/>
                <w:color w:val="000000"/>
                <w:kern w:val="0"/>
                <w:sz w:val="20"/>
                <w:szCs w:val="20"/>
              </w:rPr>
              <w:t>遥感机动电能赛车快速制造工具包</w:t>
            </w:r>
          </w:p>
        </w:tc>
        <w:tc>
          <w:tcPr>
            <w:tcW w:w="60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MEV</w:t>
            </w:r>
          </w:p>
        </w:tc>
        <w:tc>
          <w:tcPr>
            <w:tcW w:w="712" w:type="pct"/>
            <w:noWrap w:val="0"/>
            <w:vAlign w:val="center"/>
          </w:tcPr>
          <w:p>
            <w:pPr>
              <w:widowControl/>
              <w:textAlignment w:val="center"/>
              <w:rPr>
                <w:rFonts w:hint="eastAsia" w:ascii="宋体" w:hAnsi="宋体" w:cs="宋体"/>
                <w:kern w:val="0"/>
                <w:szCs w:val="21"/>
              </w:rPr>
            </w:pPr>
            <w:r>
              <w:rPr>
                <w:rFonts w:hint="eastAsia" w:ascii="宋体" w:hAnsi="宋体" w:cs="宋体"/>
                <w:color w:val="000000"/>
                <w:kern w:val="0"/>
                <w:szCs w:val="21"/>
                <w:lang w:bidi="ar"/>
              </w:rPr>
              <w:t>定制</w:t>
            </w:r>
          </w:p>
        </w:tc>
        <w:tc>
          <w:tcPr>
            <w:tcW w:w="358"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2</w:t>
            </w:r>
          </w:p>
        </w:tc>
        <w:tc>
          <w:tcPr>
            <w:tcW w:w="395"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套</w:t>
            </w:r>
          </w:p>
        </w:tc>
        <w:tc>
          <w:tcPr>
            <w:tcW w:w="51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800.00</w:t>
            </w:r>
          </w:p>
        </w:tc>
        <w:tc>
          <w:tcPr>
            <w:tcW w:w="712"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11"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9</w:t>
            </w:r>
          </w:p>
        </w:tc>
        <w:tc>
          <w:tcPr>
            <w:tcW w:w="1387" w:type="pct"/>
            <w:noWrap w:val="0"/>
            <w:vAlign w:val="center"/>
          </w:tcPr>
          <w:p>
            <w:pPr>
              <w:widowControl/>
              <w:jc w:val="center"/>
              <w:textAlignment w:val="center"/>
              <w:rPr>
                <w:rFonts w:hint="eastAsia" w:ascii="宋体" w:hAnsi="宋体" w:cs="宋体"/>
                <w:b/>
                <w:bCs/>
                <w:kern w:val="0"/>
                <w:szCs w:val="21"/>
              </w:rPr>
            </w:pPr>
            <w:r>
              <w:rPr>
                <w:rFonts w:hint="eastAsia" w:ascii="宋体" w:hAnsi="宋体" w:cs="宋体"/>
                <w:color w:val="000000"/>
                <w:kern w:val="0"/>
                <w:sz w:val="20"/>
                <w:szCs w:val="20"/>
              </w:rPr>
              <w:t>遥感机动电能赛车标准课程</w:t>
            </w:r>
          </w:p>
        </w:tc>
        <w:tc>
          <w:tcPr>
            <w:tcW w:w="60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MEV</w:t>
            </w:r>
          </w:p>
        </w:tc>
        <w:tc>
          <w:tcPr>
            <w:tcW w:w="712" w:type="pct"/>
            <w:noWrap w:val="0"/>
            <w:vAlign w:val="center"/>
          </w:tcPr>
          <w:p>
            <w:pPr>
              <w:widowControl/>
              <w:textAlignment w:val="center"/>
              <w:rPr>
                <w:rFonts w:hint="eastAsia" w:ascii="宋体" w:hAnsi="宋体" w:cs="宋体"/>
                <w:kern w:val="0"/>
                <w:szCs w:val="21"/>
              </w:rPr>
            </w:pPr>
            <w:r>
              <w:rPr>
                <w:rFonts w:hint="eastAsia" w:ascii="宋体" w:hAnsi="宋体" w:cs="宋体"/>
                <w:color w:val="000000"/>
                <w:kern w:val="0"/>
                <w:szCs w:val="21"/>
                <w:lang w:bidi="ar"/>
              </w:rPr>
              <w:t>定制</w:t>
            </w:r>
          </w:p>
        </w:tc>
        <w:tc>
          <w:tcPr>
            <w:tcW w:w="358"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w:t>
            </w:r>
          </w:p>
        </w:tc>
        <w:tc>
          <w:tcPr>
            <w:tcW w:w="395"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套</w:t>
            </w:r>
          </w:p>
        </w:tc>
        <w:tc>
          <w:tcPr>
            <w:tcW w:w="51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8,000.00</w:t>
            </w:r>
          </w:p>
        </w:tc>
        <w:tc>
          <w:tcPr>
            <w:tcW w:w="712"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11"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10</w:t>
            </w:r>
          </w:p>
        </w:tc>
        <w:tc>
          <w:tcPr>
            <w:tcW w:w="1387" w:type="pct"/>
            <w:noWrap w:val="0"/>
            <w:vAlign w:val="center"/>
          </w:tcPr>
          <w:p>
            <w:pPr>
              <w:widowControl/>
              <w:jc w:val="center"/>
              <w:textAlignment w:val="center"/>
              <w:rPr>
                <w:rFonts w:hint="eastAsia" w:ascii="宋体" w:hAnsi="宋体" w:cs="宋体"/>
                <w:b/>
                <w:bCs/>
                <w:kern w:val="0"/>
                <w:szCs w:val="21"/>
              </w:rPr>
            </w:pPr>
            <w:r>
              <w:rPr>
                <w:rFonts w:hint="eastAsia" w:ascii="宋体" w:hAnsi="宋体" w:cs="宋体"/>
                <w:color w:val="000000"/>
                <w:kern w:val="0"/>
                <w:sz w:val="20"/>
                <w:szCs w:val="20"/>
              </w:rPr>
              <w:t>在线课程</w:t>
            </w:r>
          </w:p>
        </w:tc>
        <w:tc>
          <w:tcPr>
            <w:tcW w:w="60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MEV</w:t>
            </w:r>
          </w:p>
        </w:tc>
        <w:tc>
          <w:tcPr>
            <w:tcW w:w="712" w:type="pct"/>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bidi="ar"/>
              </w:rPr>
              <w:t>定制</w:t>
            </w:r>
          </w:p>
        </w:tc>
        <w:tc>
          <w:tcPr>
            <w:tcW w:w="358"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w:t>
            </w:r>
          </w:p>
        </w:tc>
        <w:tc>
          <w:tcPr>
            <w:tcW w:w="395"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年/个</w:t>
            </w:r>
          </w:p>
        </w:tc>
        <w:tc>
          <w:tcPr>
            <w:tcW w:w="51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3,600.00</w:t>
            </w:r>
          </w:p>
        </w:tc>
        <w:tc>
          <w:tcPr>
            <w:tcW w:w="712"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11"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11</w:t>
            </w:r>
          </w:p>
        </w:tc>
        <w:tc>
          <w:tcPr>
            <w:tcW w:w="1387" w:type="pct"/>
            <w:noWrap w:val="0"/>
            <w:vAlign w:val="center"/>
          </w:tcPr>
          <w:p>
            <w:pPr>
              <w:widowControl/>
              <w:textAlignment w:val="center"/>
              <w:rPr>
                <w:rFonts w:hint="eastAsia" w:ascii="宋体" w:hAnsi="宋体" w:cs="宋体"/>
                <w:b/>
                <w:bCs/>
                <w:kern w:val="0"/>
                <w:szCs w:val="21"/>
              </w:rPr>
            </w:pPr>
            <w:r>
              <w:rPr>
                <w:rFonts w:hint="eastAsia" w:ascii="宋体" w:hAnsi="宋体" w:cs="宋体"/>
                <w:color w:val="000000"/>
                <w:kern w:val="0"/>
                <w:sz w:val="20"/>
                <w:szCs w:val="20"/>
              </w:rPr>
              <w:t>赛车制造3D打印机1</w:t>
            </w:r>
          </w:p>
        </w:tc>
        <w:tc>
          <w:tcPr>
            <w:tcW w:w="60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森工</w:t>
            </w:r>
          </w:p>
        </w:tc>
        <w:tc>
          <w:tcPr>
            <w:tcW w:w="712" w:type="pct"/>
            <w:noWrap w:val="0"/>
            <w:vAlign w:val="center"/>
          </w:tcPr>
          <w:p>
            <w:pPr>
              <w:widowControl/>
              <w:textAlignment w:val="center"/>
              <w:rPr>
                <w:rFonts w:hint="eastAsia" w:ascii="宋体" w:hAnsi="宋体" w:cs="宋体"/>
                <w:kern w:val="0"/>
                <w:szCs w:val="21"/>
              </w:rPr>
            </w:pPr>
            <w:r>
              <w:rPr>
                <w:rFonts w:hint="eastAsia" w:ascii="宋体" w:hAnsi="宋体" w:cs="宋体"/>
                <w:color w:val="000000"/>
                <w:kern w:val="0"/>
                <w:szCs w:val="21"/>
                <w:lang w:bidi="ar"/>
              </w:rPr>
              <w:t>K5</w:t>
            </w:r>
          </w:p>
        </w:tc>
        <w:tc>
          <w:tcPr>
            <w:tcW w:w="358"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2</w:t>
            </w:r>
          </w:p>
        </w:tc>
        <w:tc>
          <w:tcPr>
            <w:tcW w:w="395"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台</w:t>
            </w:r>
          </w:p>
        </w:tc>
        <w:tc>
          <w:tcPr>
            <w:tcW w:w="51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7,800.00</w:t>
            </w:r>
          </w:p>
        </w:tc>
        <w:tc>
          <w:tcPr>
            <w:tcW w:w="712"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15,600.00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11"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12</w:t>
            </w:r>
          </w:p>
        </w:tc>
        <w:tc>
          <w:tcPr>
            <w:tcW w:w="1387" w:type="pct"/>
            <w:noWrap w:val="0"/>
            <w:vAlign w:val="center"/>
          </w:tcPr>
          <w:p>
            <w:pPr>
              <w:widowControl/>
              <w:jc w:val="left"/>
              <w:textAlignment w:val="center"/>
              <w:rPr>
                <w:rFonts w:hint="eastAsia" w:ascii="宋体" w:hAnsi="宋体" w:cs="宋体"/>
                <w:b/>
                <w:bCs/>
                <w:kern w:val="0"/>
                <w:szCs w:val="21"/>
              </w:rPr>
            </w:pPr>
            <w:r>
              <w:rPr>
                <w:rFonts w:hint="eastAsia" w:ascii="宋体" w:hAnsi="宋体" w:cs="宋体"/>
                <w:color w:val="000000"/>
                <w:kern w:val="0"/>
                <w:sz w:val="20"/>
                <w:szCs w:val="20"/>
              </w:rPr>
              <w:t>赛车制造3D打印机2</w:t>
            </w:r>
          </w:p>
        </w:tc>
        <w:tc>
          <w:tcPr>
            <w:tcW w:w="60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MEV</w:t>
            </w:r>
          </w:p>
        </w:tc>
        <w:tc>
          <w:tcPr>
            <w:tcW w:w="712" w:type="pct"/>
            <w:noWrap w:val="0"/>
            <w:vAlign w:val="center"/>
          </w:tcPr>
          <w:p>
            <w:pPr>
              <w:widowControl/>
              <w:textAlignment w:val="center"/>
              <w:rPr>
                <w:rFonts w:hint="eastAsia" w:ascii="宋体" w:hAnsi="宋体" w:cs="宋体"/>
                <w:kern w:val="0"/>
                <w:szCs w:val="21"/>
              </w:rPr>
            </w:pPr>
            <w:r>
              <w:rPr>
                <w:rFonts w:hint="eastAsia" w:ascii="宋体" w:hAnsi="宋体" w:cs="宋体"/>
                <w:color w:val="000000"/>
                <w:kern w:val="0"/>
                <w:szCs w:val="21"/>
                <w:lang w:bidi="ar"/>
              </w:rPr>
              <w:t>MEV19016</w:t>
            </w:r>
          </w:p>
        </w:tc>
        <w:tc>
          <w:tcPr>
            <w:tcW w:w="358"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w:t>
            </w:r>
          </w:p>
        </w:tc>
        <w:tc>
          <w:tcPr>
            <w:tcW w:w="395"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台</w:t>
            </w:r>
          </w:p>
        </w:tc>
        <w:tc>
          <w:tcPr>
            <w:tcW w:w="51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7,800.00</w:t>
            </w:r>
          </w:p>
        </w:tc>
        <w:tc>
          <w:tcPr>
            <w:tcW w:w="712"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7,800.00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11"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13</w:t>
            </w:r>
          </w:p>
        </w:tc>
        <w:tc>
          <w:tcPr>
            <w:tcW w:w="1387" w:type="pct"/>
            <w:noWrap w:val="0"/>
            <w:vAlign w:val="center"/>
          </w:tcPr>
          <w:p>
            <w:pPr>
              <w:widowControl/>
              <w:jc w:val="center"/>
              <w:textAlignment w:val="center"/>
              <w:rPr>
                <w:rFonts w:hint="eastAsia" w:ascii="宋体" w:hAnsi="宋体" w:cs="宋体"/>
                <w:b/>
                <w:bCs/>
                <w:kern w:val="0"/>
                <w:szCs w:val="21"/>
              </w:rPr>
            </w:pPr>
            <w:r>
              <w:rPr>
                <w:rFonts w:hint="eastAsia" w:ascii="宋体" w:hAnsi="宋体" w:cs="宋体"/>
                <w:color w:val="000000"/>
                <w:kern w:val="0"/>
                <w:sz w:val="20"/>
                <w:szCs w:val="20"/>
              </w:rPr>
              <w:t>三维设计软件（单机版）</w:t>
            </w:r>
          </w:p>
        </w:tc>
        <w:tc>
          <w:tcPr>
            <w:tcW w:w="60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中望</w:t>
            </w:r>
          </w:p>
        </w:tc>
        <w:tc>
          <w:tcPr>
            <w:tcW w:w="712" w:type="pct"/>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bidi="ar"/>
              </w:rPr>
              <w:t>3D-one V2.0</w:t>
            </w:r>
          </w:p>
        </w:tc>
        <w:tc>
          <w:tcPr>
            <w:tcW w:w="358"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3</w:t>
            </w:r>
          </w:p>
        </w:tc>
        <w:tc>
          <w:tcPr>
            <w:tcW w:w="395"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套</w:t>
            </w:r>
          </w:p>
        </w:tc>
        <w:tc>
          <w:tcPr>
            <w:tcW w:w="51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 xml:space="preserve">4000.00 </w:t>
            </w:r>
          </w:p>
        </w:tc>
        <w:tc>
          <w:tcPr>
            <w:tcW w:w="712"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11"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14</w:t>
            </w:r>
          </w:p>
        </w:tc>
        <w:tc>
          <w:tcPr>
            <w:tcW w:w="1387" w:type="pct"/>
            <w:noWrap w:val="0"/>
            <w:vAlign w:val="center"/>
          </w:tcPr>
          <w:p>
            <w:pPr>
              <w:widowControl/>
              <w:jc w:val="center"/>
              <w:textAlignment w:val="center"/>
              <w:rPr>
                <w:rFonts w:hint="eastAsia" w:ascii="宋体" w:hAnsi="宋体" w:cs="宋体"/>
                <w:b/>
                <w:bCs/>
                <w:kern w:val="0"/>
                <w:szCs w:val="21"/>
              </w:rPr>
            </w:pPr>
            <w:r>
              <w:rPr>
                <w:rFonts w:hint="eastAsia" w:ascii="宋体" w:hAnsi="宋体" w:cs="宋体"/>
                <w:color w:val="000000"/>
                <w:kern w:val="0"/>
                <w:sz w:val="20"/>
                <w:szCs w:val="20"/>
              </w:rPr>
              <w:t>3d打印机耗材</w:t>
            </w:r>
          </w:p>
        </w:tc>
        <w:tc>
          <w:tcPr>
            <w:tcW w:w="60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森工</w:t>
            </w:r>
          </w:p>
        </w:tc>
        <w:tc>
          <w:tcPr>
            <w:tcW w:w="712" w:type="pct"/>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bidi="ar"/>
              </w:rPr>
              <w:t>定制</w:t>
            </w:r>
          </w:p>
        </w:tc>
        <w:tc>
          <w:tcPr>
            <w:tcW w:w="358"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10</w:t>
            </w:r>
          </w:p>
        </w:tc>
        <w:tc>
          <w:tcPr>
            <w:tcW w:w="395"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卷</w:t>
            </w:r>
          </w:p>
        </w:tc>
        <w:tc>
          <w:tcPr>
            <w:tcW w:w="51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 xml:space="preserve">180.00 </w:t>
            </w:r>
          </w:p>
        </w:tc>
        <w:tc>
          <w:tcPr>
            <w:tcW w:w="712"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11"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15</w:t>
            </w:r>
          </w:p>
        </w:tc>
        <w:tc>
          <w:tcPr>
            <w:tcW w:w="1387" w:type="pct"/>
            <w:noWrap w:val="0"/>
            <w:vAlign w:val="center"/>
          </w:tcPr>
          <w:p>
            <w:pPr>
              <w:widowControl/>
              <w:jc w:val="center"/>
              <w:textAlignment w:val="center"/>
              <w:rPr>
                <w:rFonts w:hint="eastAsia" w:ascii="宋体" w:hAnsi="宋体" w:cs="宋体"/>
                <w:b/>
                <w:bCs/>
                <w:kern w:val="0"/>
                <w:szCs w:val="21"/>
              </w:rPr>
            </w:pPr>
            <w:r>
              <w:rPr>
                <w:rFonts w:hint="eastAsia" w:ascii="宋体" w:hAnsi="宋体" w:cs="宋体"/>
                <w:color w:val="000000"/>
                <w:kern w:val="0"/>
                <w:sz w:val="20"/>
                <w:szCs w:val="20"/>
              </w:rPr>
              <w:t>3d打印修模工具</w:t>
            </w:r>
          </w:p>
        </w:tc>
        <w:tc>
          <w:tcPr>
            <w:tcW w:w="60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定制</w:t>
            </w:r>
          </w:p>
        </w:tc>
        <w:tc>
          <w:tcPr>
            <w:tcW w:w="712" w:type="pct"/>
            <w:noWrap w:val="0"/>
            <w:vAlign w:val="center"/>
          </w:tcPr>
          <w:p>
            <w:pPr>
              <w:jc w:val="left"/>
              <w:rPr>
                <w:rFonts w:hint="eastAsia" w:ascii="宋体" w:hAnsi="宋体" w:cs="宋体"/>
                <w:kern w:val="0"/>
                <w:szCs w:val="21"/>
              </w:rPr>
            </w:pPr>
            <w:r>
              <w:rPr>
                <w:rFonts w:hint="eastAsia" w:ascii="宋体" w:hAnsi="宋体" w:cs="宋体"/>
                <w:color w:val="000000"/>
                <w:kern w:val="0"/>
                <w:szCs w:val="21"/>
                <w:lang w:bidi="ar"/>
              </w:rPr>
              <w:t>定制</w:t>
            </w:r>
          </w:p>
        </w:tc>
        <w:tc>
          <w:tcPr>
            <w:tcW w:w="358"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3</w:t>
            </w:r>
          </w:p>
        </w:tc>
        <w:tc>
          <w:tcPr>
            <w:tcW w:w="395"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套</w:t>
            </w:r>
          </w:p>
        </w:tc>
        <w:tc>
          <w:tcPr>
            <w:tcW w:w="51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 xml:space="preserve">98.00 </w:t>
            </w:r>
          </w:p>
        </w:tc>
        <w:tc>
          <w:tcPr>
            <w:tcW w:w="712"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294.00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11"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16</w:t>
            </w:r>
          </w:p>
        </w:tc>
        <w:tc>
          <w:tcPr>
            <w:tcW w:w="1387" w:type="pct"/>
            <w:noWrap w:val="0"/>
            <w:vAlign w:val="center"/>
          </w:tcPr>
          <w:p>
            <w:pPr>
              <w:widowControl/>
              <w:jc w:val="center"/>
              <w:textAlignment w:val="center"/>
              <w:rPr>
                <w:rFonts w:hint="eastAsia" w:ascii="宋体" w:hAnsi="宋体" w:cs="宋体"/>
                <w:b/>
                <w:bCs/>
                <w:kern w:val="0"/>
                <w:szCs w:val="21"/>
              </w:rPr>
            </w:pPr>
            <w:r>
              <w:rPr>
                <w:rFonts w:hint="eastAsia" w:ascii="宋体" w:hAnsi="宋体" w:cs="宋体"/>
                <w:color w:val="000000"/>
                <w:kern w:val="0"/>
                <w:sz w:val="20"/>
                <w:szCs w:val="20"/>
              </w:rPr>
              <w:t>STEAM基础在线学习平台</w:t>
            </w:r>
          </w:p>
        </w:tc>
        <w:tc>
          <w:tcPr>
            <w:tcW w:w="60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美科</w:t>
            </w:r>
          </w:p>
        </w:tc>
        <w:tc>
          <w:tcPr>
            <w:tcW w:w="712" w:type="pct"/>
            <w:noWrap w:val="0"/>
            <w:vAlign w:val="center"/>
          </w:tcPr>
          <w:p>
            <w:pPr>
              <w:rPr>
                <w:rFonts w:hint="eastAsia" w:ascii="宋体" w:hAnsi="宋体" w:cs="宋体"/>
                <w:kern w:val="0"/>
                <w:szCs w:val="21"/>
              </w:rPr>
            </w:pPr>
            <w:r>
              <w:rPr>
                <w:rFonts w:hint="eastAsia" w:ascii="宋体" w:hAnsi="宋体" w:cs="宋体"/>
                <w:color w:val="000000"/>
                <w:kern w:val="0"/>
                <w:szCs w:val="21"/>
                <w:lang w:bidi="ar"/>
              </w:rPr>
              <w:t>定制</w:t>
            </w:r>
          </w:p>
        </w:tc>
        <w:tc>
          <w:tcPr>
            <w:tcW w:w="358"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w:t>
            </w:r>
          </w:p>
        </w:tc>
        <w:tc>
          <w:tcPr>
            <w:tcW w:w="395"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套</w:t>
            </w:r>
          </w:p>
        </w:tc>
        <w:tc>
          <w:tcPr>
            <w:tcW w:w="51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 xml:space="preserve">0.00 </w:t>
            </w:r>
          </w:p>
        </w:tc>
        <w:tc>
          <w:tcPr>
            <w:tcW w:w="712"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11"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17</w:t>
            </w:r>
          </w:p>
        </w:tc>
        <w:tc>
          <w:tcPr>
            <w:tcW w:w="1387" w:type="pct"/>
            <w:noWrap w:val="0"/>
            <w:vAlign w:val="center"/>
          </w:tcPr>
          <w:p>
            <w:pPr>
              <w:widowControl/>
              <w:jc w:val="center"/>
              <w:textAlignment w:val="center"/>
              <w:rPr>
                <w:rFonts w:hint="eastAsia" w:ascii="宋体" w:hAnsi="宋体" w:cs="宋体"/>
                <w:b/>
                <w:bCs/>
                <w:kern w:val="0"/>
                <w:szCs w:val="21"/>
              </w:rPr>
            </w:pPr>
            <w:r>
              <w:rPr>
                <w:rFonts w:hint="eastAsia" w:ascii="宋体" w:hAnsi="宋体" w:cs="宋体"/>
                <w:color w:val="000000"/>
                <w:kern w:val="0"/>
                <w:sz w:val="20"/>
                <w:szCs w:val="20"/>
              </w:rPr>
              <w:t>教具1</w:t>
            </w:r>
          </w:p>
        </w:tc>
        <w:tc>
          <w:tcPr>
            <w:tcW w:w="60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美科</w:t>
            </w:r>
          </w:p>
        </w:tc>
        <w:tc>
          <w:tcPr>
            <w:tcW w:w="712" w:type="pct"/>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bidi="ar"/>
              </w:rPr>
              <w:t>MKMC101N</w:t>
            </w:r>
          </w:p>
        </w:tc>
        <w:tc>
          <w:tcPr>
            <w:tcW w:w="358"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12</w:t>
            </w:r>
          </w:p>
        </w:tc>
        <w:tc>
          <w:tcPr>
            <w:tcW w:w="395"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套</w:t>
            </w:r>
          </w:p>
        </w:tc>
        <w:tc>
          <w:tcPr>
            <w:tcW w:w="51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 xml:space="preserve">600.00 </w:t>
            </w:r>
          </w:p>
        </w:tc>
        <w:tc>
          <w:tcPr>
            <w:tcW w:w="712"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11"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18</w:t>
            </w:r>
          </w:p>
        </w:tc>
        <w:tc>
          <w:tcPr>
            <w:tcW w:w="1387" w:type="pct"/>
            <w:noWrap w:val="0"/>
            <w:vAlign w:val="center"/>
          </w:tcPr>
          <w:p>
            <w:pPr>
              <w:widowControl/>
              <w:jc w:val="center"/>
              <w:textAlignment w:val="center"/>
              <w:rPr>
                <w:rFonts w:hint="eastAsia" w:ascii="宋体" w:hAnsi="宋体" w:cs="宋体"/>
                <w:b/>
                <w:bCs/>
                <w:kern w:val="0"/>
                <w:szCs w:val="21"/>
              </w:rPr>
            </w:pPr>
            <w:r>
              <w:rPr>
                <w:rFonts w:hint="eastAsia" w:ascii="宋体" w:hAnsi="宋体" w:cs="宋体"/>
                <w:color w:val="000000"/>
                <w:kern w:val="0"/>
                <w:sz w:val="20"/>
                <w:szCs w:val="20"/>
              </w:rPr>
              <w:t>教具2</w:t>
            </w:r>
          </w:p>
        </w:tc>
        <w:tc>
          <w:tcPr>
            <w:tcW w:w="60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美科</w:t>
            </w:r>
          </w:p>
        </w:tc>
        <w:tc>
          <w:tcPr>
            <w:tcW w:w="712" w:type="pct"/>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bidi="ar"/>
              </w:rPr>
              <w:t>MIXC115N</w:t>
            </w:r>
          </w:p>
        </w:tc>
        <w:tc>
          <w:tcPr>
            <w:tcW w:w="358"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12</w:t>
            </w:r>
          </w:p>
        </w:tc>
        <w:tc>
          <w:tcPr>
            <w:tcW w:w="395"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套</w:t>
            </w:r>
          </w:p>
        </w:tc>
        <w:tc>
          <w:tcPr>
            <w:tcW w:w="51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 xml:space="preserve">1800.00 </w:t>
            </w:r>
          </w:p>
        </w:tc>
        <w:tc>
          <w:tcPr>
            <w:tcW w:w="712"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21,600.00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11"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19</w:t>
            </w:r>
          </w:p>
        </w:tc>
        <w:tc>
          <w:tcPr>
            <w:tcW w:w="1387" w:type="pct"/>
            <w:noWrap w:val="0"/>
            <w:vAlign w:val="center"/>
          </w:tcPr>
          <w:p>
            <w:pPr>
              <w:widowControl/>
              <w:jc w:val="center"/>
              <w:textAlignment w:val="center"/>
              <w:rPr>
                <w:rFonts w:hint="eastAsia" w:ascii="宋体" w:hAnsi="宋体" w:cs="宋体"/>
                <w:b/>
                <w:bCs/>
                <w:kern w:val="0"/>
                <w:szCs w:val="21"/>
              </w:rPr>
            </w:pPr>
            <w:r>
              <w:rPr>
                <w:rFonts w:hint="eastAsia" w:ascii="宋体" w:hAnsi="宋体" w:cs="宋体"/>
                <w:color w:val="000000"/>
                <w:kern w:val="0"/>
                <w:sz w:val="20"/>
                <w:szCs w:val="20"/>
              </w:rPr>
              <w:t>教具3</w:t>
            </w:r>
          </w:p>
        </w:tc>
        <w:tc>
          <w:tcPr>
            <w:tcW w:w="60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美科</w:t>
            </w:r>
          </w:p>
        </w:tc>
        <w:tc>
          <w:tcPr>
            <w:tcW w:w="712" w:type="pct"/>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bidi="ar"/>
              </w:rPr>
              <w:t>MKMC601N</w:t>
            </w:r>
          </w:p>
        </w:tc>
        <w:tc>
          <w:tcPr>
            <w:tcW w:w="358"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12</w:t>
            </w:r>
          </w:p>
        </w:tc>
        <w:tc>
          <w:tcPr>
            <w:tcW w:w="395"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套</w:t>
            </w:r>
          </w:p>
        </w:tc>
        <w:tc>
          <w:tcPr>
            <w:tcW w:w="51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 xml:space="preserve">1200.00 </w:t>
            </w:r>
          </w:p>
        </w:tc>
        <w:tc>
          <w:tcPr>
            <w:tcW w:w="712"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14,400.00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11"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20</w:t>
            </w:r>
          </w:p>
        </w:tc>
        <w:tc>
          <w:tcPr>
            <w:tcW w:w="1387" w:type="pct"/>
            <w:noWrap w:val="0"/>
            <w:vAlign w:val="center"/>
          </w:tcPr>
          <w:p>
            <w:pPr>
              <w:widowControl/>
              <w:jc w:val="center"/>
              <w:textAlignment w:val="center"/>
              <w:rPr>
                <w:rFonts w:hint="eastAsia" w:ascii="宋体" w:hAnsi="宋体" w:cs="宋体"/>
                <w:b/>
                <w:bCs/>
                <w:kern w:val="0"/>
                <w:szCs w:val="21"/>
              </w:rPr>
            </w:pPr>
            <w:r>
              <w:rPr>
                <w:rFonts w:hint="eastAsia" w:ascii="宋体" w:hAnsi="宋体" w:cs="宋体"/>
                <w:color w:val="000000"/>
                <w:kern w:val="0"/>
                <w:sz w:val="20"/>
                <w:szCs w:val="20"/>
              </w:rPr>
              <w:t>教具4</w:t>
            </w:r>
          </w:p>
        </w:tc>
        <w:tc>
          <w:tcPr>
            <w:tcW w:w="60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美科</w:t>
            </w:r>
          </w:p>
        </w:tc>
        <w:tc>
          <w:tcPr>
            <w:tcW w:w="712" w:type="pct"/>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bidi="ar"/>
              </w:rPr>
              <w:t>MKMC602N</w:t>
            </w:r>
          </w:p>
        </w:tc>
        <w:tc>
          <w:tcPr>
            <w:tcW w:w="358"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4</w:t>
            </w:r>
          </w:p>
        </w:tc>
        <w:tc>
          <w:tcPr>
            <w:tcW w:w="395"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套</w:t>
            </w:r>
          </w:p>
        </w:tc>
        <w:tc>
          <w:tcPr>
            <w:tcW w:w="51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 xml:space="preserve">6665.00 </w:t>
            </w:r>
          </w:p>
        </w:tc>
        <w:tc>
          <w:tcPr>
            <w:tcW w:w="712"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26,660.00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11"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21</w:t>
            </w:r>
          </w:p>
        </w:tc>
        <w:tc>
          <w:tcPr>
            <w:tcW w:w="1387" w:type="pct"/>
            <w:noWrap w:val="0"/>
            <w:vAlign w:val="center"/>
          </w:tcPr>
          <w:p>
            <w:pPr>
              <w:widowControl/>
              <w:jc w:val="center"/>
              <w:textAlignment w:val="center"/>
              <w:rPr>
                <w:rFonts w:hint="eastAsia" w:ascii="宋体" w:hAnsi="宋体" w:cs="宋体"/>
                <w:b/>
                <w:bCs/>
                <w:kern w:val="0"/>
                <w:szCs w:val="21"/>
              </w:rPr>
            </w:pPr>
            <w:r>
              <w:rPr>
                <w:rFonts w:hint="eastAsia" w:ascii="宋体" w:hAnsi="宋体" w:cs="宋体"/>
                <w:color w:val="333333"/>
                <w:kern w:val="0"/>
                <w:sz w:val="20"/>
                <w:szCs w:val="20"/>
              </w:rPr>
              <w:t>VR头盔套装</w:t>
            </w:r>
          </w:p>
        </w:tc>
        <w:tc>
          <w:tcPr>
            <w:tcW w:w="60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惠普</w:t>
            </w:r>
          </w:p>
        </w:tc>
        <w:tc>
          <w:tcPr>
            <w:tcW w:w="712" w:type="pct"/>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bidi="ar"/>
              </w:rPr>
              <w:t>MR头显 微软Mixed Reality</w:t>
            </w:r>
          </w:p>
        </w:tc>
        <w:tc>
          <w:tcPr>
            <w:tcW w:w="358"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w:t>
            </w:r>
          </w:p>
        </w:tc>
        <w:tc>
          <w:tcPr>
            <w:tcW w:w="395"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套</w:t>
            </w:r>
          </w:p>
        </w:tc>
        <w:tc>
          <w:tcPr>
            <w:tcW w:w="51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 xml:space="preserve">3999 </w:t>
            </w:r>
          </w:p>
        </w:tc>
        <w:tc>
          <w:tcPr>
            <w:tcW w:w="712"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 xml:space="preserve">3999.00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11"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22</w:t>
            </w:r>
          </w:p>
        </w:tc>
        <w:tc>
          <w:tcPr>
            <w:tcW w:w="1387" w:type="pct"/>
            <w:noWrap w:val="0"/>
            <w:vAlign w:val="center"/>
          </w:tcPr>
          <w:p>
            <w:pPr>
              <w:widowControl/>
              <w:jc w:val="center"/>
              <w:textAlignment w:val="center"/>
              <w:rPr>
                <w:rFonts w:hint="eastAsia" w:ascii="宋体" w:hAnsi="宋体" w:cs="宋体"/>
                <w:b/>
                <w:bCs/>
                <w:kern w:val="0"/>
                <w:szCs w:val="21"/>
              </w:rPr>
            </w:pPr>
            <w:r>
              <w:rPr>
                <w:rFonts w:hint="eastAsia" w:ascii="宋体" w:hAnsi="宋体" w:cs="宋体"/>
                <w:color w:val="333333"/>
                <w:kern w:val="0"/>
                <w:sz w:val="20"/>
                <w:szCs w:val="20"/>
              </w:rPr>
              <w:t>VR图形处理器</w:t>
            </w:r>
          </w:p>
        </w:tc>
        <w:tc>
          <w:tcPr>
            <w:tcW w:w="60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定制</w:t>
            </w:r>
          </w:p>
        </w:tc>
        <w:tc>
          <w:tcPr>
            <w:tcW w:w="712" w:type="pct"/>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bidi="ar"/>
              </w:rPr>
              <w:t>定制</w:t>
            </w:r>
          </w:p>
        </w:tc>
        <w:tc>
          <w:tcPr>
            <w:tcW w:w="358"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w:t>
            </w:r>
          </w:p>
        </w:tc>
        <w:tc>
          <w:tcPr>
            <w:tcW w:w="395"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台</w:t>
            </w:r>
          </w:p>
        </w:tc>
        <w:tc>
          <w:tcPr>
            <w:tcW w:w="51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 xml:space="preserve">10999 </w:t>
            </w:r>
          </w:p>
        </w:tc>
        <w:tc>
          <w:tcPr>
            <w:tcW w:w="712"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 xml:space="preserve">10999.00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11"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23</w:t>
            </w:r>
          </w:p>
        </w:tc>
        <w:tc>
          <w:tcPr>
            <w:tcW w:w="1387" w:type="pct"/>
            <w:noWrap w:val="0"/>
            <w:vAlign w:val="center"/>
          </w:tcPr>
          <w:p>
            <w:pPr>
              <w:widowControl/>
              <w:jc w:val="center"/>
              <w:textAlignment w:val="center"/>
              <w:rPr>
                <w:rFonts w:hint="eastAsia" w:ascii="宋体" w:hAnsi="宋体" w:cs="宋体"/>
                <w:b/>
                <w:bCs/>
                <w:kern w:val="0"/>
                <w:szCs w:val="21"/>
              </w:rPr>
            </w:pPr>
            <w:r>
              <w:rPr>
                <w:rFonts w:hint="eastAsia" w:ascii="宋体" w:hAnsi="宋体" w:cs="宋体"/>
                <w:color w:val="333333"/>
                <w:kern w:val="0"/>
                <w:sz w:val="20"/>
                <w:szCs w:val="20"/>
              </w:rPr>
              <w:t>显示适配器及键鼠</w:t>
            </w:r>
          </w:p>
        </w:tc>
        <w:tc>
          <w:tcPr>
            <w:tcW w:w="60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AOC/罗技</w:t>
            </w:r>
          </w:p>
        </w:tc>
        <w:tc>
          <w:tcPr>
            <w:tcW w:w="712" w:type="pct"/>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bidi="ar"/>
              </w:rPr>
              <w:t>MK275</w:t>
            </w:r>
          </w:p>
        </w:tc>
        <w:tc>
          <w:tcPr>
            <w:tcW w:w="358"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w:t>
            </w:r>
          </w:p>
        </w:tc>
        <w:tc>
          <w:tcPr>
            <w:tcW w:w="395"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套</w:t>
            </w:r>
          </w:p>
        </w:tc>
        <w:tc>
          <w:tcPr>
            <w:tcW w:w="51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 xml:space="preserve">1600 </w:t>
            </w:r>
          </w:p>
        </w:tc>
        <w:tc>
          <w:tcPr>
            <w:tcW w:w="712"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 xml:space="preserve">1600.00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11"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24</w:t>
            </w:r>
          </w:p>
        </w:tc>
        <w:tc>
          <w:tcPr>
            <w:tcW w:w="1387" w:type="pct"/>
            <w:noWrap w:val="0"/>
            <w:vAlign w:val="center"/>
          </w:tcPr>
          <w:p>
            <w:pPr>
              <w:widowControl/>
              <w:jc w:val="center"/>
              <w:textAlignment w:val="center"/>
              <w:rPr>
                <w:rFonts w:hint="eastAsia" w:ascii="宋体" w:hAnsi="宋体" w:cs="宋体"/>
                <w:b/>
                <w:bCs/>
                <w:kern w:val="0"/>
                <w:szCs w:val="21"/>
              </w:rPr>
            </w:pPr>
            <w:r>
              <w:rPr>
                <w:rFonts w:hint="eastAsia" w:ascii="宋体" w:hAnsi="宋体" w:cs="宋体"/>
                <w:color w:val="000000"/>
                <w:kern w:val="0"/>
                <w:sz w:val="20"/>
                <w:szCs w:val="20"/>
              </w:rPr>
              <w:t>生命科学VR/3D互动教学软件</w:t>
            </w:r>
          </w:p>
        </w:tc>
        <w:tc>
          <w:tcPr>
            <w:tcW w:w="60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矩道</w:t>
            </w:r>
          </w:p>
        </w:tc>
        <w:tc>
          <w:tcPr>
            <w:tcW w:w="712" w:type="pct"/>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bidi="ar"/>
              </w:rPr>
              <w:t>VR版</w:t>
            </w:r>
          </w:p>
        </w:tc>
        <w:tc>
          <w:tcPr>
            <w:tcW w:w="358"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w:t>
            </w:r>
          </w:p>
        </w:tc>
        <w:tc>
          <w:tcPr>
            <w:tcW w:w="395"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套</w:t>
            </w:r>
          </w:p>
        </w:tc>
        <w:tc>
          <w:tcPr>
            <w:tcW w:w="51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 xml:space="preserve">17900 </w:t>
            </w:r>
          </w:p>
        </w:tc>
        <w:tc>
          <w:tcPr>
            <w:tcW w:w="712"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 xml:space="preserve">17900.00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11"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25</w:t>
            </w:r>
          </w:p>
        </w:tc>
        <w:tc>
          <w:tcPr>
            <w:tcW w:w="1387" w:type="pct"/>
            <w:noWrap w:val="0"/>
            <w:vAlign w:val="center"/>
          </w:tcPr>
          <w:p>
            <w:pPr>
              <w:widowControl/>
              <w:jc w:val="center"/>
              <w:textAlignment w:val="top"/>
              <w:rPr>
                <w:rFonts w:hint="eastAsia" w:ascii="宋体" w:hAnsi="宋体" w:cs="宋体"/>
                <w:b/>
                <w:bCs/>
                <w:kern w:val="0"/>
                <w:szCs w:val="21"/>
              </w:rPr>
            </w:pPr>
            <w:r>
              <w:rPr>
                <w:rFonts w:hint="eastAsia" w:ascii="宋体" w:hAnsi="宋体" w:cs="宋体"/>
                <w:color w:val="000000"/>
                <w:kern w:val="0"/>
                <w:sz w:val="20"/>
                <w:szCs w:val="20"/>
              </w:rPr>
              <w:t>汽车模拟驾驶器</w:t>
            </w:r>
          </w:p>
        </w:tc>
        <w:tc>
          <w:tcPr>
            <w:tcW w:w="60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乔立</w:t>
            </w:r>
          </w:p>
        </w:tc>
        <w:tc>
          <w:tcPr>
            <w:tcW w:w="712" w:type="pct"/>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bidi="ar"/>
              </w:rPr>
              <w:t>QL-MNQA01</w:t>
            </w:r>
          </w:p>
        </w:tc>
        <w:tc>
          <w:tcPr>
            <w:tcW w:w="358"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w:t>
            </w:r>
          </w:p>
        </w:tc>
        <w:tc>
          <w:tcPr>
            <w:tcW w:w="395" w:type="pct"/>
            <w:noWrap w:val="0"/>
            <w:vAlign w:val="center"/>
          </w:tcPr>
          <w:p>
            <w:pPr>
              <w:jc w:val="center"/>
              <w:rPr>
                <w:rFonts w:hint="eastAsia" w:ascii="宋体" w:hAnsi="宋体" w:cs="宋体"/>
                <w:kern w:val="0"/>
                <w:szCs w:val="21"/>
              </w:rPr>
            </w:pPr>
            <w:r>
              <w:rPr>
                <w:rFonts w:hint="eastAsia" w:ascii="宋体" w:hAnsi="宋体" w:cs="宋体"/>
                <w:color w:val="000000"/>
                <w:kern w:val="0"/>
                <w:szCs w:val="21"/>
                <w:lang w:bidi="ar"/>
              </w:rPr>
              <w:t>套</w:t>
            </w:r>
          </w:p>
        </w:tc>
        <w:tc>
          <w:tcPr>
            <w:tcW w:w="51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 xml:space="preserve">13800.00 </w:t>
            </w:r>
          </w:p>
        </w:tc>
        <w:tc>
          <w:tcPr>
            <w:tcW w:w="712"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 xml:space="preserve">13800.00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11"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26</w:t>
            </w:r>
          </w:p>
        </w:tc>
        <w:tc>
          <w:tcPr>
            <w:tcW w:w="1387" w:type="pct"/>
            <w:noWrap w:val="0"/>
            <w:vAlign w:val="center"/>
          </w:tcPr>
          <w:p>
            <w:pPr>
              <w:widowControl/>
              <w:jc w:val="center"/>
              <w:textAlignment w:val="center"/>
              <w:rPr>
                <w:rFonts w:hint="eastAsia" w:ascii="宋体" w:hAnsi="宋体" w:cs="宋体"/>
                <w:b/>
                <w:bCs/>
                <w:kern w:val="0"/>
                <w:szCs w:val="21"/>
              </w:rPr>
            </w:pPr>
            <w:r>
              <w:rPr>
                <w:rFonts w:hint="eastAsia" w:ascii="宋体" w:hAnsi="宋体" w:cs="宋体"/>
                <w:color w:val="000000"/>
                <w:kern w:val="0"/>
                <w:sz w:val="20"/>
                <w:szCs w:val="20"/>
              </w:rPr>
              <w:t>透明发动机模型</w:t>
            </w:r>
          </w:p>
        </w:tc>
        <w:tc>
          <w:tcPr>
            <w:tcW w:w="60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乔立</w:t>
            </w:r>
          </w:p>
        </w:tc>
        <w:tc>
          <w:tcPr>
            <w:tcW w:w="712" w:type="pct"/>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bidi="ar"/>
              </w:rPr>
              <w:t>QL-MX01</w:t>
            </w:r>
          </w:p>
        </w:tc>
        <w:tc>
          <w:tcPr>
            <w:tcW w:w="358"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w:t>
            </w:r>
          </w:p>
        </w:tc>
        <w:tc>
          <w:tcPr>
            <w:tcW w:w="395" w:type="pct"/>
            <w:noWrap w:val="0"/>
            <w:vAlign w:val="center"/>
          </w:tcPr>
          <w:p>
            <w:pPr>
              <w:jc w:val="center"/>
              <w:rPr>
                <w:rFonts w:hint="eastAsia" w:ascii="宋体" w:hAnsi="宋体" w:cs="宋体"/>
                <w:kern w:val="0"/>
                <w:szCs w:val="21"/>
              </w:rPr>
            </w:pPr>
            <w:r>
              <w:rPr>
                <w:rFonts w:hint="eastAsia" w:ascii="宋体" w:hAnsi="宋体" w:cs="宋体"/>
                <w:color w:val="000000"/>
                <w:kern w:val="0"/>
                <w:szCs w:val="21"/>
                <w:lang w:bidi="ar"/>
              </w:rPr>
              <w:t>套</w:t>
            </w:r>
          </w:p>
        </w:tc>
        <w:tc>
          <w:tcPr>
            <w:tcW w:w="51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 xml:space="preserve">3500.00 </w:t>
            </w:r>
          </w:p>
        </w:tc>
        <w:tc>
          <w:tcPr>
            <w:tcW w:w="712"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 xml:space="preserve">3500.00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11"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27</w:t>
            </w:r>
          </w:p>
        </w:tc>
        <w:tc>
          <w:tcPr>
            <w:tcW w:w="1387" w:type="pct"/>
            <w:noWrap w:val="0"/>
            <w:vAlign w:val="center"/>
          </w:tcPr>
          <w:p>
            <w:pPr>
              <w:widowControl/>
              <w:jc w:val="center"/>
              <w:textAlignment w:val="center"/>
              <w:rPr>
                <w:rFonts w:hint="eastAsia" w:ascii="宋体" w:hAnsi="宋体" w:cs="宋体"/>
                <w:b/>
                <w:bCs/>
                <w:kern w:val="0"/>
                <w:szCs w:val="21"/>
              </w:rPr>
            </w:pPr>
            <w:r>
              <w:rPr>
                <w:rFonts w:hint="eastAsia" w:ascii="宋体" w:hAnsi="宋体" w:cs="宋体"/>
                <w:color w:val="000000"/>
                <w:kern w:val="0"/>
                <w:sz w:val="20"/>
                <w:szCs w:val="20"/>
              </w:rPr>
              <w:t>离合器透明模型</w:t>
            </w:r>
          </w:p>
        </w:tc>
        <w:tc>
          <w:tcPr>
            <w:tcW w:w="60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乔立</w:t>
            </w:r>
          </w:p>
        </w:tc>
        <w:tc>
          <w:tcPr>
            <w:tcW w:w="712" w:type="pct"/>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bidi="ar"/>
              </w:rPr>
              <w:t>QL-MX02</w:t>
            </w:r>
          </w:p>
        </w:tc>
        <w:tc>
          <w:tcPr>
            <w:tcW w:w="358"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w:t>
            </w:r>
          </w:p>
        </w:tc>
        <w:tc>
          <w:tcPr>
            <w:tcW w:w="395" w:type="pct"/>
            <w:noWrap w:val="0"/>
            <w:vAlign w:val="center"/>
          </w:tcPr>
          <w:p>
            <w:pPr>
              <w:jc w:val="center"/>
              <w:rPr>
                <w:rFonts w:hint="eastAsia" w:ascii="宋体" w:hAnsi="宋体" w:cs="宋体"/>
                <w:kern w:val="0"/>
                <w:szCs w:val="21"/>
              </w:rPr>
            </w:pPr>
            <w:r>
              <w:rPr>
                <w:rFonts w:hint="eastAsia" w:ascii="宋体" w:hAnsi="宋体" w:cs="宋体"/>
                <w:color w:val="000000"/>
                <w:kern w:val="0"/>
                <w:szCs w:val="21"/>
                <w:lang w:bidi="ar"/>
              </w:rPr>
              <w:t>套</w:t>
            </w:r>
          </w:p>
        </w:tc>
        <w:tc>
          <w:tcPr>
            <w:tcW w:w="51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 xml:space="preserve">1600.00 </w:t>
            </w:r>
          </w:p>
        </w:tc>
        <w:tc>
          <w:tcPr>
            <w:tcW w:w="712"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 xml:space="preserve">1600.00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11"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28</w:t>
            </w:r>
          </w:p>
        </w:tc>
        <w:tc>
          <w:tcPr>
            <w:tcW w:w="1387" w:type="pct"/>
            <w:noWrap w:val="0"/>
            <w:vAlign w:val="center"/>
          </w:tcPr>
          <w:p>
            <w:pPr>
              <w:widowControl/>
              <w:jc w:val="center"/>
              <w:textAlignment w:val="center"/>
              <w:rPr>
                <w:rFonts w:hint="eastAsia" w:ascii="宋体" w:hAnsi="宋体" w:cs="宋体"/>
                <w:b/>
                <w:bCs/>
                <w:kern w:val="0"/>
                <w:szCs w:val="21"/>
              </w:rPr>
            </w:pPr>
            <w:r>
              <w:rPr>
                <w:rFonts w:hint="eastAsia" w:ascii="宋体" w:hAnsi="宋体" w:cs="宋体"/>
                <w:color w:val="000000"/>
                <w:kern w:val="0"/>
                <w:sz w:val="20"/>
                <w:szCs w:val="20"/>
              </w:rPr>
              <w:t>变速箱透明模型</w:t>
            </w:r>
          </w:p>
        </w:tc>
        <w:tc>
          <w:tcPr>
            <w:tcW w:w="60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乔立</w:t>
            </w:r>
          </w:p>
        </w:tc>
        <w:tc>
          <w:tcPr>
            <w:tcW w:w="712" w:type="pct"/>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bidi="ar"/>
              </w:rPr>
              <w:t>QL-MX03</w:t>
            </w:r>
          </w:p>
        </w:tc>
        <w:tc>
          <w:tcPr>
            <w:tcW w:w="358"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w:t>
            </w:r>
          </w:p>
        </w:tc>
        <w:tc>
          <w:tcPr>
            <w:tcW w:w="395" w:type="pct"/>
            <w:noWrap w:val="0"/>
            <w:vAlign w:val="center"/>
          </w:tcPr>
          <w:p>
            <w:pPr>
              <w:jc w:val="center"/>
              <w:rPr>
                <w:rFonts w:hint="eastAsia" w:ascii="宋体" w:hAnsi="宋体" w:cs="宋体"/>
                <w:kern w:val="0"/>
                <w:szCs w:val="21"/>
              </w:rPr>
            </w:pPr>
            <w:r>
              <w:rPr>
                <w:rFonts w:hint="eastAsia" w:ascii="宋体" w:hAnsi="宋体" w:cs="宋体"/>
                <w:color w:val="000000"/>
                <w:kern w:val="0"/>
                <w:szCs w:val="21"/>
                <w:lang w:bidi="ar"/>
              </w:rPr>
              <w:t>套</w:t>
            </w:r>
          </w:p>
        </w:tc>
        <w:tc>
          <w:tcPr>
            <w:tcW w:w="51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 xml:space="preserve">2300.00 </w:t>
            </w:r>
          </w:p>
        </w:tc>
        <w:tc>
          <w:tcPr>
            <w:tcW w:w="712"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 xml:space="preserve">2300.00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11"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29</w:t>
            </w:r>
          </w:p>
        </w:tc>
        <w:tc>
          <w:tcPr>
            <w:tcW w:w="1387" w:type="pct"/>
            <w:noWrap w:val="0"/>
            <w:vAlign w:val="center"/>
          </w:tcPr>
          <w:p>
            <w:pPr>
              <w:widowControl/>
              <w:jc w:val="center"/>
              <w:textAlignment w:val="center"/>
              <w:rPr>
                <w:rFonts w:hint="eastAsia" w:ascii="宋体" w:hAnsi="宋体" w:cs="宋体"/>
                <w:b/>
                <w:bCs/>
                <w:kern w:val="0"/>
                <w:szCs w:val="21"/>
              </w:rPr>
            </w:pPr>
            <w:r>
              <w:rPr>
                <w:rFonts w:hint="eastAsia" w:ascii="宋体" w:hAnsi="宋体" w:cs="宋体"/>
                <w:color w:val="000000"/>
                <w:kern w:val="0"/>
                <w:sz w:val="20"/>
                <w:szCs w:val="20"/>
              </w:rPr>
              <w:t>化油器透明模型</w:t>
            </w:r>
          </w:p>
        </w:tc>
        <w:tc>
          <w:tcPr>
            <w:tcW w:w="60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乔立</w:t>
            </w:r>
          </w:p>
        </w:tc>
        <w:tc>
          <w:tcPr>
            <w:tcW w:w="712" w:type="pct"/>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bidi="ar"/>
              </w:rPr>
              <w:t>QL-MX04</w:t>
            </w:r>
          </w:p>
        </w:tc>
        <w:tc>
          <w:tcPr>
            <w:tcW w:w="358"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w:t>
            </w:r>
          </w:p>
        </w:tc>
        <w:tc>
          <w:tcPr>
            <w:tcW w:w="395" w:type="pct"/>
            <w:noWrap w:val="0"/>
            <w:vAlign w:val="center"/>
          </w:tcPr>
          <w:p>
            <w:pPr>
              <w:jc w:val="center"/>
              <w:rPr>
                <w:rFonts w:hint="eastAsia" w:ascii="宋体" w:hAnsi="宋体" w:cs="宋体"/>
                <w:kern w:val="0"/>
                <w:szCs w:val="21"/>
              </w:rPr>
            </w:pPr>
            <w:r>
              <w:rPr>
                <w:rFonts w:hint="eastAsia" w:ascii="宋体" w:hAnsi="宋体" w:cs="宋体"/>
                <w:color w:val="000000"/>
                <w:kern w:val="0"/>
                <w:szCs w:val="21"/>
                <w:lang w:bidi="ar"/>
              </w:rPr>
              <w:t>套</w:t>
            </w:r>
          </w:p>
        </w:tc>
        <w:tc>
          <w:tcPr>
            <w:tcW w:w="51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 xml:space="preserve">2500.00 </w:t>
            </w:r>
          </w:p>
        </w:tc>
        <w:tc>
          <w:tcPr>
            <w:tcW w:w="712"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 xml:space="preserve">2500.00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11"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30</w:t>
            </w:r>
          </w:p>
        </w:tc>
        <w:tc>
          <w:tcPr>
            <w:tcW w:w="1387" w:type="pct"/>
            <w:noWrap w:val="0"/>
            <w:vAlign w:val="center"/>
          </w:tcPr>
          <w:p>
            <w:pPr>
              <w:widowControl/>
              <w:jc w:val="center"/>
              <w:textAlignment w:val="center"/>
              <w:rPr>
                <w:rFonts w:hint="eastAsia" w:ascii="宋体" w:hAnsi="宋体" w:cs="宋体"/>
                <w:b/>
                <w:bCs/>
                <w:kern w:val="0"/>
                <w:szCs w:val="21"/>
              </w:rPr>
            </w:pPr>
            <w:r>
              <w:rPr>
                <w:rFonts w:hint="eastAsia" w:ascii="宋体" w:hAnsi="宋体" w:cs="宋体"/>
                <w:color w:val="000000"/>
                <w:kern w:val="0"/>
                <w:sz w:val="20"/>
                <w:szCs w:val="20"/>
              </w:rPr>
              <w:t>水泵透明模型</w:t>
            </w:r>
          </w:p>
        </w:tc>
        <w:tc>
          <w:tcPr>
            <w:tcW w:w="60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乔立</w:t>
            </w:r>
          </w:p>
        </w:tc>
        <w:tc>
          <w:tcPr>
            <w:tcW w:w="712" w:type="pct"/>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bidi="ar"/>
              </w:rPr>
              <w:t>QL-MX05</w:t>
            </w:r>
          </w:p>
        </w:tc>
        <w:tc>
          <w:tcPr>
            <w:tcW w:w="358"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w:t>
            </w:r>
          </w:p>
        </w:tc>
        <w:tc>
          <w:tcPr>
            <w:tcW w:w="395" w:type="pct"/>
            <w:noWrap w:val="0"/>
            <w:vAlign w:val="center"/>
          </w:tcPr>
          <w:p>
            <w:pPr>
              <w:jc w:val="center"/>
              <w:rPr>
                <w:rFonts w:hint="eastAsia" w:ascii="宋体" w:hAnsi="宋体" w:cs="宋体"/>
                <w:kern w:val="0"/>
                <w:szCs w:val="21"/>
              </w:rPr>
            </w:pPr>
            <w:r>
              <w:rPr>
                <w:rFonts w:hint="eastAsia" w:ascii="宋体" w:hAnsi="宋体" w:cs="宋体"/>
                <w:color w:val="000000"/>
                <w:kern w:val="0"/>
                <w:szCs w:val="21"/>
                <w:lang w:bidi="ar"/>
              </w:rPr>
              <w:t>套</w:t>
            </w:r>
          </w:p>
        </w:tc>
        <w:tc>
          <w:tcPr>
            <w:tcW w:w="51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 xml:space="preserve">1350.00 </w:t>
            </w:r>
          </w:p>
        </w:tc>
        <w:tc>
          <w:tcPr>
            <w:tcW w:w="712"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 xml:space="preserve">1350.00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11"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31</w:t>
            </w:r>
          </w:p>
        </w:tc>
        <w:tc>
          <w:tcPr>
            <w:tcW w:w="1387" w:type="pct"/>
            <w:noWrap w:val="0"/>
            <w:vAlign w:val="center"/>
          </w:tcPr>
          <w:p>
            <w:pPr>
              <w:widowControl/>
              <w:jc w:val="center"/>
              <w:textAlignment w:val="center"/>
              <w:rPr>
                <w:rFonts w:hint="eastAsia" w:ascii="宋体" w:hAnsi="宋体" w:cs="宋体"/>
                <w:b/>
                <w:bCs/>
                <w:kern w:val="0"/>
                <w:szCs w:val="21"/>
              </w:rPr>
            </w:pPr>
            <w:r>
              <w:rPr>
                <w:rFonts w:hint="eastAsia" w:ascii="宋体" w:hAnsi="宋体" w:cs="宋体"/>
                <w:color w:val="000000"/>
                <w:kern w:val="0"/>
                <w:sz w:val="20"/>
                <w:szCs w:val="20"/>
              </w:rPr>
              <w:t>分电器透明模型</w:t>
            </w:r>
          </w:p>
        </w:tc>
        <w:tc>
          <w:tcPr>
            <w:tcW w:w="60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乔立</w:t>
            </w:r>
          </w:p>
        </w:tc>
        <w:tc>
          <w:tcPr>
            <w:tcW w:w="712" w:type="pct"/>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bidi="ar"/>
              </w:rPr>
              <w:t>QL-MX06</w:t>
            </w:r>
          </w:p>
        </w:tc>
        <w:tc>
          <w:tcPr>
            <w:tcW w:w="358"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w:t>
            </w:r>
          </w:p>
        </w:tc>
        <w:tc>
          <w:tcPr>
            <w:tcW w:w="395" w:type="pct"/>
            <w:noWrap w:val="0"/>
            <w:vAlign w:val="center"/>
          </w:tcPr>
          <w:p>
            <w:pPr>
              <w:jc w:val="center"/>
              <w:rPr>
                <w:rFonts w:hint="eastAsia" w:ascii="宋体" w:hAnsi="宋体" w:cs="宋体"/>
                <w:kern w:val="0"/>
                <w:szCs w:val="21"/>
              </w:rPr>
            </w:pPr>
            <w:r>
              <w:rPr>
                <w:rFonts w:hint="eastAsia" w:ascii="宋体" w:hAnsi="宋体" w:cs="宋体"/>
                <w:color w:val="000000"/>
                <w:kern w:val="0"/>
                <w:szCs w:val="21"/>
                <w:lang w:bidi="ar"/>
              </w:rPr>
              <w:t>套</w:t>
            </w:r>
          </w:p>
        </w:tc>
        <w:tc>
          <w:tcPr>
            <w:tcW w:w="51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 xml:space="preserve">1500.00 </w:t>
            </w:r>
          </w:p>
        </w:tc>
        <w:tc>
          <w:tcPr>
            <w:tcW w:w="712"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 xml:space="preserve">1500.00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11"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32</w:t>
            </w:r>
          </w:p>
        </w:tc>
        <w:tc>
          <w:tcPr>
            <w:tcW w:w="1387" w:type="pct"/>
            <w:noWrap w:val="0"/>
            <w:vAlign w:val="center"/>
          </w:tcPr>
          <w:p>
            <w:pPr>
              <w:widowControl/>
              <w:jc w:val="center"/>
              <w:textAlignment w:val="center"/>
              <w:rPr>
                <w:rFonts w:hint="eastAsia" w:ascii="宋体" w:hAnsi="宋体" w:cs="宋体"/>
                <w:b/>
                <w:bCs/>
                <w:kern w:val="0"/>
                <w:szCs w:val="21"/>
              </w:rPr>
            </w:pPr>
            <w:r>
              <w:rPr>
                <w:rFonts w:hint="eastAsia" w:ascii="宋体" w:hAnsi="宋体" w:cs="宋体"/>
                <w:color w:val="000000"/>
                <w:kern w:val="0"/>
                <w:sz w:val="20"/>
                <w:szCs w:val="20"/>
              </w:rPr>
              <w:t>发电机透明模型</w:t>
            </w:r>
          </w:p>
        </w:tc>
        <w:tc>
          <w:tcPr>
            <w:tcW w:w="60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乔立</w:t>
            </w:r>
          </w:p>
        </w:tc>
        <w:tc>
          <w:tcPr>
            <w:tcW w:w="712" w:type="pct"/>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bidi="ar"/>
              </w:rPr>
              <w:t>QL-MX07</w:t>
            </w:r>
          </w:p>
        </w:tc>
        <w:tc>
          <w:tcPr>
            <w:tcW w:w="358"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w:t>
            </w:r>
          </w:p>
        </w:tc>
        <w:tc>
          <w:tcPr>
            <w:tcW w:w="395" w:type="pct"/>
            <w:noWrap w:val="0"/>
            <w:vAlign w:val="center"/>
          </w:tcPr>
          <w:p>
            <w:pPr>
              <w:jc w:val="center"/>
              <w:rPr>
                <w:rFonts w:hint="eastAsia" w:ascii="宋体" w:hAnsi="宋体" w:cs="宋体"/>
                <w:kern w:val="0"/>
                <w:szCs w:val="21"/>
              </w:rPr>
            </w:pPr>
            <w:r>
              <w:rPr>
                <w:rFonts w:hint="eastAsia" w:ascii="宋体" w:hAnsi="宋体" w:cs="宋体"/>
                <w:color w:val="000000"/>
                <w:kern w:val="0"/>
                <w:szCs w:val="21"/>
                <w:lang w:bidi="ar"/>
              </w:rPr>
              <w:t>套</w:t>
            </w:r>
          </w:p>
        </w:tc>
        <w:tc>
          <w:tcPr>
            <w:tcW w:w="51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 xml:space="preserve">1500.00 </w:t>
            </w:r>
          </w:p>
        </w:tc>
        <w:tc>
          <w:tcPr>
            <w:tcW w:w="712"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 xml:space="preserve">1500.00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11"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33</w:t>
            </w:r>
          </w:p>
        </w:tc>
        <w:tc>
          <w:tcPr>
            <w:tcW w:w="1387" w:type="pct"/>
            <w:noWrap w:val="0"/>
            <w:vAlign w:val="center"/>
          </w:tcPr>
          <w:p>
            <w:pPr>
              <w:widowControl/>
              <w:jc w:val="center"/>
              <w:textAlignment w:val="center"/>
              <w:rPr>
                <w:rFonts w:hint="eastAsia" w:ascii="宋体" w:hAnsi="宋体" w:cs="宋体"/>
                <w:b/>
                <w:bCs/>
                <w:kern w:val="0"/>
                <w:szCs w:val="21"/>
              </w:rPr>
            </w:pPr>
            <w:r>
              <w:rPr>
                <w:rFonts w:hint="eastAsia" w:ascii="宋体" w:hAnsi="宋体" w:cs="宋体"/>
                <w:color w:val="000000"/>
                <w:kern w:val="0"/>
                <w:sz w:val="20"/>
                <w:szCs w:val="20"/>
              </w:rPr>
              <w:t>钳盘式制动器（前轮）透明模型</w:t>
            </w:r>
          </w:p>
        </w:tc>
        <w:tc>
          <w:tcPr>
            <w:tcW w:w="60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乔立</w:t>
            </w:r>
          </w:p>
        </w:tc>
        <w:tc>
          <w:tcPr>
            <w:tcW w:w="712" w:type="pct"/>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bidi="ar"/>
              </w:rPr>
              <w:t>QL-MX08</w:t>
            </w:r>
          </w:p>
        </w:tc>
        <w:tc>
          <w:tcPr>
            <w:tcW w:w="358"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w:t>
            </w:r>
          </w:p>
        </w:tc>
        <w:tc>
          <w:tcPr>
            <w:tcW w:w="395" w:type="pct"/>
            <w:noWrap w:val="0"/>
            <w:vAlign w:val="center"/>
          </w:tcPr>
          <w:p>
            <w:pPr>
              <w:jc w:val="center"/>
              <w:rPr>
                <w:rFonts w:hint="eastAsia" w:ascii="宋体" w:hAnsi="宋体" w:cs="宋体"/>
                <w:kern w:val="0"/>
                <w:szCs w:val="21"/>
              </w:rPr>
            </w:pPr>
            <w:r>
              <w:rPr>
                <w:rFonts w:hint="eastAsia" w:ascii="宋体" w:hAnsi="宋体" w:cs="宋体"/>
                <w:color w:val="000000"/>
                <w:kern w:val="0"/>
                <w:szCs w:val="21"/>
                <w:lang w:bidi="ar"/>
              </w:rPr>
              <w:t>套</w:t>
            </w:r>
          </w:p>
        </w:tc>
        <w:tc>
          <w:tcPr>
            <w:tcW w:w="51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 xml:space="preserve">1500.00 </w:t>
            </w:r>
          </w:p>
        </w:tc>
        <w:tc>
          <w:tcPr>
            <w:tcW w:w="712"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 xml:space="preserve">1500.00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11"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34</w:t>
            </w:r>
          </w:p>
        </w:tc>
        <w:tc>
          <w:tcPr>
            <w:tcW w:w="1387" w:type="pct"/>
            <w:noWrap w:val="0"/>
            <w:vAlign w:val="center"/>
          </w:tcPr>
          <w:p>
            <w:pPr>
              <w:widowControl/>
              <w:jc w:val="center"/>
              <w:textAlignment w:val="center"/>
              <w:rPr>
                <w:rFonts w:hint="eastAsia" w:ascii="宋体" w:hAnsi="宋体" w:cs="宋体"/>
                <w:b/>
                <w:bCs/>
                <w:kern w:val="0"/>
                <w:szCs w:val="21"/>
              </w:rPr>
            </w:pPr>
            <w:r>
              <w:rPr>
                <w:rFonts w:hint="eastAsia" w:ascii="宋体" w:hAnsi="宋体" w:cs="宋体"/>
                <w:color w:val="000000"/>
                <w:kern w:val="0"/>
                <w:sz w:val="20"/>
                <w:szCs w:val="20"/>
              </w:rPr>
              <w:t>安全带碰撞体验装置</w:t>
            </w:r>
          </w:p>
        </w:tc>
        <w:tc>
          <w:tcPr>
            <w:tcW w:w="60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乔立</w:t>
            </w:r>
          </w:p>
        </w:tc>
        <w:tc>
          <w:tcPr>
            <w:tcW w:w="712" w:type="pct"/>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bidi="ar"/>
              </w:rPr>
              <w:t>QL-MX09</w:t>
            </w:r>
          </w:p>
        </w:tc>
        <w:tc>
          <w:tcPr>
            <w:tcW w:w="358"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w:t>
            </w:r>
          </w:p>
        </w:tc>
        <w:tc>
          <w:tcPr>
            <w:tcW w:w="395" w:type="pct"/>
            <w:noWrap w:val="0"/>
            <w:vAlign w:val="center"/>
          </w:tcPr>
          <w:p>
            <w:pPr>
              <w:jc w:val="center"/>
              <w:rPr>
                <w:rFonts w:hint="eastAsia" w:ascii="宋体" w:hAnsi="宋体" w:cs="宋体"/>
                <w:kern w:val="0"/>
                <w:szCs w:val="21"/>
              </w:rPr>
            </w:pPr>
            <w:r>
              <w:rPr>
                <w:rFonts w:hint="eastAsia" w:ascii="宋体" w:hAnsi="宋体" w:cs="宋体"/>
                <w:color w:val="000000"/>
                <w:kern w:val="0"/>
                <w:szCs w:val="21"/>
                <w:lang w:bidi="ar"/>
              </w:rPr>
              <w:t>套</w:t>
            </w:r>
          </w:p>
        </w:tc>
        <w:tc>
          <w:tcPr>
            <w:tcW w:w="51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 xml:space="preserve">2850.00 </w:t>
            </w:r>
          </w:p>
        </w:tc>
        <w:tc>
          <w:tcPr>
            <w:tcW w:w="712"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 xml:space="preserve">2850.00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11"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35</w:t>
            </w:r>
          </w:p>
        </w:tc>
        <w:tc>
          <w:tcPr>
            <w:tcW w:w="1387" w:type="pct"/>
            <w:noWrap w:val="0"/>
            <w:vAlign w:val="center"/>
          </w:tcPr>
          <w:p>
            <w:pPr>
              <w:widowControl/>
              <w:jc w:val="center"/>
              <w:textAlignment w:val="center"/>
              <w:rPr>
                <w:rFonts w:hint="eastAsia" w:ascii="宋体" w:hAnsi="宋体" w:cs="宋体"/>
                <w:b/>
                <w:bCs/>
                <w:kern w:val="0"/>
                <w:szCs w:val="21"/>
              </w:rPr>
            </w:pPr>
            <w:r>
              <w:rPr>
                <w:rFonts w:hint="eastAsia" w:ascii="宋体" w:hAnsi="宋体" w:cs="宋体"/>
                <w:color w:val="000000"/>
                <w:kern w:val="0"/>
                <w:sz w:val="20"/>
                <w:szCs w:val="20"/>
              </w:rPr>
              <w:t>教师桌</w:t>
            </w:r>
          </w:p>
        </w:tc>
        <w:tc>
          <w:tcPr>
            <w:tcW w:w="606" w:type="pct"/>
            <w:noWrap w:val="0"/>
            <w:vAlign w:val="center"/>
          </w:tcPr>
          <w:p>
            <w:pPr>
              <w:jc w:val="center"/>
              <w:rPr>
                <w:rFonts w:hint="eastAsia" w:ascii="宋体" w:hAnsi="宋体" w:cs="宋体"/>
                <w:kern w:val="0"/>
                <w:szCs w:val="21"/>
              </w:rPr>
            </w:pPr>
            <w:r>
              <w:rPr>
                <w:rFonts w:hint="eastAsia" w:ascii="宋体" w:hAnsi="宋体" w:cs="宋体"/>
                <w:kern w:val="0"/>
                <w:szCs w:val="21"/>
              </w:rPr>
              <w:t>无锡朗盛</w:t>
            </w:r>
          </w:p>
        </w:tc>
        <w:tc>
          <w:tcPr>
            <w:tcW w:w="712" w:type="pct"/>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bidi="ar"/>
              </w:rPr>
              <w:t>定制</w:t>
            </w:r>
          </w:p>
        </w:tc>
        <w:tc>
          <w:tcPr>
            <w:tcW w:w="358"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w:t>
            </w:r>
          </w:p>
        </w:tc>
        <w:tc>
          <w:tcPr>
            <w:tcW w:w="395"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套</w:t>
            </w:r>
          </w:p>
        </w:tc>
        <w:tc>
          <w:tcPr>
            <w:tcW w:w="51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 xml:space="preserve">680.00 </w:t>
            </w:r>
          </w:p>
        </w:tc>
        <w:tc>
          <w:tcPr>
            <w:tcW w:w="712"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 xml:space="preserve">680.00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11"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36</w:t>
            </w:r>
          </w:p>
        </w:tc>
        <w:tc>
          <w:tcPr>
            <w:tcW w:w="1387" w:type="pct"/>
            <w:noWrap w:val="0"/>
            <w:vAlign w:val="center"/>
          </w:tcPr>
          <w:p>
            <w:pPr>
              <w:widowControl/>
              <w:jc w:val="center"/>
              <w:textAlignment w:val="center"/>
              <w:rPr>
                <w:rFonts w:hint="eastAsia" w:ascii="宋体" w:hAnsi="宋体" w:cs="宋体"/>
                <w:b/>
                <w:bCs/>
                <w:kern w:val="0"/>
                <w:szCs w:val="21"/>
              </w:rPr>
            </w:pPr>
            <w:r>
              <w:rPr>
                <w:rFonts w:hint="eastAsia" w:ascii="宋体" w:hAnsi="宋体" w:cs="宋体"/>
                <w:color w:val="000000"/>
                <w:kern w:val="0"/>
                <w:sz w:val="20"/>
                <w:szCs w:val="20"/>
              </w:rPr>
              <w:t>学生操作台</w:t>
            </w:r>
          </w:p>
        </w:tc>
        <w:tc>
          <w:tcPr>
            <w:tcW w:w="606" w:type="pct"/>
            <w:noWrap w:val="0"/>
            <w:vAlign w:val="center"/>
          </w:tcPr>
          <w:p>
            <w:pPr>
              <w:jc w:val="center"/>
              <w:rPr>
                <w:rFonts w:hint="eastAsia" w:ascii="宋体" w:hAnsi="宋体" w:cs="宋体"/>
                <w:kern w:val="0"/>
                <w:szCs w:val="21"/>
              </w:rPr>
            </w:pPr>
            <w:r>
              <w:rPr>
                <w:rFonts w:hint="eastAsia" w:ascii="宋体" w:hAnsi="宋体" w:cs="宋体"/>
                <w:kern w:val="0"/>
                <w:szCs w:val="21"/>
              </w:rPr>
              <w:t>无锡朗盛</w:t>
            </w:r>
          </w:p>
        </w:tc>
        <w:tc>
          <w:tcPr>
            <w:tcW w:w="712" w:type="pct"/>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bidi="ar"/>
              </w:rPr>
              <w:t>定制</w:t>
            </w:r>
          </w:p>
        </w:tc>
        <w:tc>
          <w:tcPr>
            <w:tcW w:w="358"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6</w:t>
            </w:r>
          </w:p>
        </w:tc>
        <w:tc>
          <w:tcPr>
            <w:tcW w:w="395"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套</w:t>
            </w:r>
          </w:p>
        </w:tc>
        <w:tc>
          <w:tcPr>
            <w:tcW w:w="51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 xml:space="preserve">800.00 </w:t>
            </w:r>
          </w:p>
        </w:tc>
        <w:tc>
          <w:tcPr>
            <w:tcW w:w="712"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 xml:space="preserve">4800.00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11"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37</w:t>
            </w:r>
          </w:p>
        </w:tc>
        <w:tc>
          <w:tcPr>
            <w:tcW w:w="1387" w:type="pct"/>
            <w:noWrap w:val="0"/>
            <w:vAlign w:val="center"/>
          </w:tcPr>
          <w:p>
            <w:pPr>
              <w:widowControl/>
              <w:jc w:val="center"/>
              <w:textAlignment w:val="center"/>
              <w:rPr>
                <w:rFonts w:hint="eastAsia" w:ascii="宋体" w:hAnsi="宋体" w:cs="宋体"/>
                <w:b/>
                <w:bCs/>
                <w:kern w:val="0"/>
                <w:szCs w:val="21"/>
              </w:rPr>
            </w:pPr>
            <w:r>
              <w:rPr>
                <w:rFonts w:hint="eastAsia" w:ascii="宋体" w:hAnsi="宋体" w:cs="宋体"/>
                <w:color w:val="000000"/>
                <w:kern w:val="0"/>
                <w:sz w:val="20"/>
                <w:szCs w:val="20"/>
              </w:rPr>
              <w:t>学生用凳</w:t>
            </w:r>
          </w:p>
        </w:tc>
        <w:tc>
          <w:tcPr>
            <w:tcW w:w="606" w:type="pct"/>
            <w:noWrap w:val="0"/>
            <w:vAlign w:val="center"/>
          </w:tcPr>
          <w:p>
            <w:pPr>
              <w:jc w:val="center"/>
              <w:rPr>
                <w:rFonts w:hint="eastAsia" w:ascii="宋体" w:hAnsi="宋体" w:cs="宋体"/>
                <w:kern w:val="0"/>
                <w:szCs w:val="21"/>
              </w:rPr>
            </w:pPr>
            <w:r>
              <w:rPr>
                <w:rFonts w:hint="eastAsia" w:ascii="宋体" w:hAnsi="宋体" w:cs="宋体"/>
                <w:kern w:val="0"/>
                <w:szCs w:val="21"/>
              </w:rPr>
              <w:t>无锡朗盛</w:t>
            </w:r>
          </w:p>
        </w:tc>
        <w:tc>
          <w:tcPr>
            <w:tcW w:w="712" w:type="pct"/>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bidi="ar"/>
              </w:rPr>
              <w:t>定制</w:t>
            </w:r>
          </w:p>
        </w:tc>
        <w:tc>
          <w:tcPr>
            <w:tcW w:w="358"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50</w:t>
            </w:r>
          </w:p>
        </w:tc>
        <w:tc>
          <w:tcPr>
            <w:tcW w:w="395"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张</w:t>
            </w:r>
          </w:p>
        </w:tc>
        <w:tc>
          <w:tcPr>
            <w:tcW w:w="51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 xml:space="preserve">100.00 </w:t>
            </w:r>
          </w:p>
        </w:tc>
        <w:tc>
          <w:tcPr>
            <w:tcW w:w="712"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 xml:space="preserve">5000.00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11"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38</w:t>
            </w:r>
          </w:p>
        </w:tc>
        <w:tc>
          <w:tcPr>
            <w:tcW w:w="1387" w:type="pct"/>
            <w:noWrap w:val="0"/>
            <w:vAlign w:val="center"/>
          </w:tcPr>
          <w:p>
            <w:pPr>
              <w:widowControl/>
              <w:jc w:val="center"/>
              <w:textAlignment w:val="center"/>
              <w:rPr>
                <w:rFonts w:hint="eastAsia" w:ascii="宋体" w:hAnsi="宋体" w:cs="宋体"/>
                <w:b/>
                <w:bCs/>
                <w:kern w:val="0"/>
                <w:szCs w:val="21"/>
              </w:rPr>
            </w:pPr>
            <w:r>
              <w:rPr>
                <w:rFonts w:hint="eastAsia" w:ascii="宋体" w:hAnsi="宋体" w:cs="宋体"/>
                <w:color w:val="000000"/>
                <w:kern w:val="0"/>
                <w:sz w:val="20"/>
                <w:szCs w:val="20"/>
              </w:rPr>
              <w:t>方格柜</w:t>
            </w:r>
          </w:p>
        </w:tc>
        <w:tc>
          <w:tcPr>
            <w:tcW w:w="606" w:type="pct"/>
            <w:noWrap w:val="0"/>
            <w:vAlign w:val="center"/>
          </w:tcPr>
          <w:p>
            <w:pPr>
              <w:jc w:val="center"/>
              <w:rPr>
                <w:rFonts w:hint="eastAsia" w:ascii="宋体" w:hAnsi="宋体" w:cs="宋体"/>
                <w:kern w:val="0"/>
                <w:szCs w:val="21"/>
              </w:rPr>
            </w:pPr>
            <w:r>
              <w:rPr>
                <w:rFonts w:hint="eastAsia" w:ascii="宋体" w:hAnsi="宋体" w:cs="宋体"/>
                <w:kern w:val="0"/>
                <w:szCs w:val="21"/>
              </w:rPr>
              <w:t>无锡朗盛</w:t>
            </w:r>
          </w:p>
        </w:tc>
        <w:tc>
          <w:tcPr>
            <w:tcW w:w="712" w:type="pct"/>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bidi="ar"/>
              </w:rPr>
              <w:t>定制</w:t>
            </w:r>
          </w:p>
        </w:tc>
        <w:tc>
          <w:tcPr>
            <w:tcW w:w="358"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12</w:t>
            </w:r>
          </w:p>
        </w:tc>
        <w:tc>
          <w:tcPr>
            <w:tcW w:w="395"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个</w:t>
            </w:r>
          </w:p>
        </w:tc>
        <w:tc>
          <w:tcPr>
            <w:tcW w:w="51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 xml:space="preserve">800.00 </w:t>
            </w:r>
          </w:p>
        </w:tc>
        <w:tc>
          <w:tcPr>
            <w:tcW w:w="712"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 xml:space="preserve">9600.00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11"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39</w:t>
            </w:r>
          </w:p>
        </w:tc>
        <w:tc>
          <w:tcPr>
            <w:tcW w:w="1387" w:type="pct"/>
            <w:noWrap w:val="0"/>
            <w:vAlign w:val="center"/>
          </w:tcPr>
          <w:p>
            <w:pPr>
              <w:widowControl/>
              <w:jc w:val="center"/>
              <w:textAlignment w:val="center"/>
              <w:rPr>
                <w:rFonts w:hint="eastAsia" w:ascii="宋体" w:hAnsi="宋体" w:cs="宋体"/>
                <w:b/>
                <w:bCs/>
                <w:kern w:val="0"/>
                <w:szCs w:val="21"/>
              </w:rPr>
            </w:pPr>
            <w:r>
              <w:rPr>
                <w:rFonts w:hint="eastAsia" w:ascii="宋体" w:hAnsi="宋体" w:cs="宋体"/>
                <w:color w:val="000000"/>
                <w:kern w:val="0"/>
                <w:sz w:val="20"/>
                <w:szCs w:val="20"/>
              </w:rPr>
              <w:t>蜂巢柜</w:t>
            </w:r>
          </w:p>
        </w:tc>
        <w:tc>
          <w:tcPr>
            <w:tcW w:w="606" w:type="pct"/>
            <w:noWrap w:val="0"/>
            <w:vAlign w:val="center"/>
          </w:tcPr>
          <w:p>
            <w:pPr>
              <w:jc w:val="center"/>
              <w:rPr>
                <w:rFonts w:hint="eastAsia" w:ascii="宋体" w:hAnsi="宋体" w:cs="宋体"/>
                <w:kern w:val="0"/>
                <w:szCs w:val="21"/>
              </w:rPr>
            </w:pPr>
            <w:r>
              <w:rPr>
                <w:rFonts w:hint="eastAsia" w:ascii="宋体" w:hAnsi="宋体" w:cs="宋体"/>
                <w:kern w:val="0"/>
                <w:szCs w:val="21"/>
              </w:rPr>
              <w:t>无锡朗盛</w:t>
            </w:r>
          </w:p>
        </w:tc>
        <w:tc>
          <w:tcPr>
            <w:tcW w:w="712" w:type="pct"/>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bidi="ar"/>
              </w:rPr>
              <w:t>定制</w:t>
            </w:r>
          </w:p>
        </w:tc>
        <w:tc>
          <w:tcPr>
            <w:tcW w:w="358"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w:t>
            </w:r>
          </w:p>
        </w:tc>
        <w:tc>
          <w:tcPr>
            <w:tcW w:w="395"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项</w:t>
            </w:r>
          </w:p>
        </w:tc>
        <w:tc>
          <w:tcPr>
            <w:tcW w:w="51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 xml:space="preserve">3000.00 </w:t>
            </w:r>
          </w:p>
        </w:tc>
        <w:tc>
          <w:tcPr>
            <w:tcW w:w="712"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 xml:space="preserve">3000.00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11"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40</w:t>
            </w:r>
          </w:p>
        </w:tc>
        <w:tc>
          <w:tcPr>
            <w:tcW w:w="1387" w:type="pct"/>
            <w:noWrap w:val="0"/>
            <w:vAlign w:val="center"/>
          </w:tcPr>
          <w:p>
            <w:pPr>
              <w:widowControl/>
              <w:jc w:val="center"/>
              <w:textAlignment w:val="center"/>
              <w:rPr>
                <w:rFonts w:hint="eastAsia" w:ascii="宋体" w:hAnsi="宋体" w:cs="宋体"/>
                <w:b/>
                <w:bCs/>
                <w:kern w:val="0"/>
                <w:szCs w:val="21"/>
              </w:rPr>
            </w:pPr>
            <w:r>
              <w:rPr>
                <w:rFonts w:hint="eastAsia" w:ascii="宋体" w:hAnsi="宋体" w:cs="宋体"/>
                <w:color w:val="000000"/>
                <w:kern w:val="0"/>
                <w:sz w:val="20"/>
                <w:szCs w:val="20"/>
              </w:rPr>
              <w:t>黑板无尘改造</w:t>
            </w:r>
          </w:p>
        </w:tc>
        <w:tc>
          <w:tcPr>
            <w:tcW w:w="60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白衣仙子</w:t>
            </w:r>
          </w:p>
        </w:tc>
        <w:tc>
          <w:tcPr>
            <w:tcW w:w="712" w:type="pct"/>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bidi="ar"/>
              </w:rPr>
              <w:t>定制</w:t>
            </w:r>
          </w:p>
        </w:tc>
        <w:tc>
          <w:tcPr>
            <w:tcW w:w="358"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w:t>
            </w:r>
          </w:p>
        </w:tc>
        <w:tc>
          <w:tcPr>
            <w:tcW w:w="395"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项</w:t>
            </w:r>
          </w:p>
        </w:tc>
        <w:tc>
          <w:tcPr>
            <w:tcW w:w="51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 xml:space="preserve">1200.00 </w:t>
            </w:r>
          </w:p>
        </w:tc>
        <w:tc>
          <w:tcPr>
            <w:tcW w:w="712"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 xml:space="preserve">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11"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41</w:t>
            </w:r>
          </w:p>
        </w:tc>
        <w:tc>
          <w:tcPr>
            <w:tcW w:w="1387" w:type="pct"/>
            <w:noWrap w:val="0"/>
            <w:vAlign w:val="center"/>
          </w:tcPr>
          <w:p>
            <w:pPr>
              <w:widowControl/>
              <w:jc w:val="center"/>
              <w:textAlignment w:val="center"/>
              <w:rPr>
                <w:rFonts w:hint="eastAsia" w:ascii="宋体" w:hAnsi="宋体" w:cs="宋体"/>
                <w:b/>
                <w:bCs/>
                <w:kern w:val="0"/>
                <w:szCs w:val="21"/>
              </w:rPr>
            </w:pPr>
            <w:r>
              <w:rPr>
                <w:rFonts w:hint="eastAsia" w:ascii="宋体" w:hAnsi="宋体" w:cs="宋体"/>
                <w:color w:val="000000"/>
                <w:kern w:val="0"/>
                <w:sz w:val="20"/>
                <w:szCs w:val="20"/>
              </w:rPr>
              <w:t>网络机柜</w:t>
            </w:r>
          </w:p>
        </w:tc>
        <w:tc>
          <w:tcPr>
            <w:tcW w:w="60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定制</w:t>
            </w:r>
          </w:p>
        </w:tc>
        <w:tc>
          <w:tcPr>
            <w:tcW w:w="712" w:type="pct"/>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bidi="ar"/>
              </w:rPr>
              <w:t>定制</w:t>
            </w:r>
          </w:p>
        </w:tc>
        <w:tc>
          <w:tcPr>
            <w:tcW w:w="358"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w:t>
            </w:r>
          </w:p>
        </w:tc>
        <w:tc>
          <w:tcPr>
            <w:tcW w:w="395"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个</w:t>
            </w:r>
          </w:p>
        </w:tc>
        <w:tc>
          <w:tcPr>
            <w:tcW w:w="51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 xml:space="preserve">500.00 </w:t>
            </w:r>
          </w:p>
        </w:tc>
        <w:tc>
          <w:tcPr>
            <w:tcW w:w="712"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 xml:space="preserve">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11"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42</w:t>
            </w:r>
          </w:p>
        </w:tc>
        <w:tc>
          <w:tcPr>
            <w:tcW w:w="1387" w:type="pct"/>
            <w:noWrap w:val="0"/>
            <w:vAlign w:val="center"/>
          </w:tcPr>
          <w:p>
            <w:pPr>
              <w:widowControl/>
              <w:jc w:val="center"/>
              <w:textAlignment w:val="center"/>
              <w:rPr>
                <w:rFonts w:hint="eastAsia" w:ascii="宋体" w:hAnsi="宋体" w:cs="宋体"/>
                <w:b/>
                <w:bCs/>
                <w:kern w:val="0"/>
                <w:szCs w:val="21"/>
              </w:rPr>
            </w:pPr>
            <w:r>
              <w:rPr>
                <w:rFonts w:hint="eastAsia" w:ascii="宋体" w:hAnsi="宋体" w:cs="宋体"/>
                <w:color w:val="000000"/>
                <w:kern w:val="0"/>
                <w:sz w:val="20"/>
                <w:szCs w:val="20"/>
              </w:rPr>
              <w:t>网络交换机</w:t>
            </w:r>
          </w:p>
        </w:tc>
        <w:tc>
          <w:tcPr>
            <w:tcW w:w="60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H3C</w:t>
            </w:r>
          </w:p>
        </w:tc>
        <w:tc>
          <w:tcPr>
            <w:tcW w:w="712" w:type="pct"/>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bidi="ar"/>
              </w:rPr>
              <w:t>Mini S8G-U</w:t>
            </w:r>
          </w:p>
        </w:tc>
        <w:tc>
          <w:tcPr>
            <w:tcW w:w="358"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w:t>
            </w:r>
          </w:p>
        </w:tc>
        <w:tc>
          <w:tcPr>
            <w:tcW w:w="395"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台</w:t>
            </w:r>
          </w:p>
        </w:tc>
        <w:tc>
          <w:tcPr>
            <w:tcW w:w="51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 xml:space="preserve">600.00 </w:t>
            </w:r>
          </w:p>
        </w:tc>
        <w:tc>
          <w:tcPr>
            <w:tcW w:w="712"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 xml:space="preserve">600.00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11"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43</w:t>
            </w:r>
          </w:p>
        </w:tc>
        <w:tc>
          <w:tcPr>
            <w:tcW w:w="1387" w:type="pct"/>
            <w:noWrap w:val="0"/>
            <w:vAlign w:val="center"/>
          </w:tcPr>
          <w:p>
            <w:pPr>
              <w:widowControl/>
              <w:jc w:val="center"/>
              <w:textAlignment w:val="center"/>
              <w:rPr>
                <w:rFonts w:hint="eastAsia" w:ascii="宋体" w:hAnsi="宋体" w:cs="宋体"/>
                <w:b/>
                <w:bCs/>
                <w:kern w:val="0"/>
                <w:szCs w:val="21"/>
              </w:rPr>
            </w:pPr>
            <w:r>
              <w:rPr>
                <w:rFonts w:hint="eastAsia" w:ascii="宋体" w:hAnsi="宋体" w:cs="宋体"/>
                <w:color w:val="000000"/>
                <w:kern w:val="0"/>
                <w:sz w:val="20"/>
                <w:szCs w:val="20"/>
              </w:rPr>
              <w:t>网络强电布线</w:t>
            </w:r>
          </w:p>
        </w:tc>
        <w:tc>
          <w:tcPr>
            <w:tcW w:w="606" w:type="pct"/>
            <w:noWrap w:val="0"/>
            <w:vAlign w:val="center"/>
          </w:tcPr>
          <w:p>
            <w:pPr>
              <w:rPr>
                <w:rFonts w:hint="eastAsia" w:ascii="宋体" w:hAnsi="宋体" w:cs="宋体"/>
                <w:kern w:val="0"/>
                <w:szCs w:val="21"/>
              </w:rPr>
            </w:pPr>
            <w:r>
              <w:rPr>
                <w:rFonts w:hint="eastAsia" w:ascii="宋体" w:hAnsi="宋体" w:cs="宋体"/>
                <w:kern w:val="0"/>
                <w:szCs w:val="21"/>
              </w:rPr>
              <w:t>无锡朗盛</w:t>
            </w:r>
          </w:p>
        </w:tc>
        <w:tc>
          <w:tcPr>
            <w:tcW w:w="712" w:type="pct"/>
            <w:noWrap w:val="0"/>
            <w:vAlign w:val="center"/>
          </w:tcPr>
          <w:p>
            <w:pPr>
              <w:jc w:val="left"/>
              <w:rPr>
                <w:rFonts w:hint="eastAsia" w:ascii="宋体" w:hAnsi="宋体" w:cs="宋体"/>
                <w:kern w:val="0"/>
                <w:szCs w:val="21"/>
              </w:rPr>
            </w:pPr>
            <w:r>
              <w:rPr>
                <w:rFonts w:hint="eastAsia" w:ascii="宋体" w:hAnsi="宋体" w:cs="宋体"/>
                <w:color w:val="000000"/>
                <w:kern w:val="0"/>
                <w:szCs w:val="21"/>
                <w:lang w:bidi="ar"/>
              </w:rPr>
              <w:t>定制</w:t>
            </w:r>
          </w:p>
        </w:tc>
        <w:tc>
          <w:tcPr>
            <w:tcW w:w="358"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w:t>
            </w:r>
          </w:p>
        </w:tc>
        <w:tc>
          <w:tcPr>
            <w:tcW w:w="395"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项</w:t>
            </w:r>
          </w:p>
        </w:tc>
        <w:tc>
          <w:tcPr>
            <w:tcW w:w="51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 xml:space="preserve">3500.00 </w:t>
            </w:r>
          </w:p>
        </w:tc>
        <w:tc>
          <w:tcPr>
            <w:tcW w:w="712"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 xml:space="preserve">3500.00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11"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44</w:t>
            </w:r>
          </w:p>
        </w:tc>
        <w:tc>
          <w:tcPr>
            <w:tcW w:w="1387" w:type="pct"/>
            <w:noWrap w:val="0"/>
            <w:vAlign w:val="center"/>
          </w:tcPr>
          <w:p>
            <w:pPr>
              <w:widowControl/>
              <w:jc w:val="center"/>
              <w:textAlignment w:val="center"/>
              <w:rPr>
                <w:rFonts w:hint="eastAsia" w:ascii="宋体" w:hAnsi="宋体" w:cs="宋体"/>
                <w:b/>
                <w:bCs/>
                <w:kern w:val="0"/>
                <w:szCs w:val="21"/>
              </w:rPr>
            </w:pPr>
            <w:r>
              <w:rPr>
                <w:rFonts w:hint="eastAsia" w:ascii="宋体" w:hAnsi="宋体" w:cs="宋体"/>
                <w:color w:val="000000"/>
                <w:kern w:val="0"/>
                <w:sz w:val="20"/>
                <w:szCs w:val="20"/>
              </w:rPr>
              <w:t>创客教室设计</w:t>
            </w:r>
          </w:p>
        </w:tc>
        <w:tc>
          <w:tcPr>
            <w:tcW w:w="606" w:type="pct"/>
            <w:noWrap w:val="0"/>
            <w:vAlign w:val="center"/>
          </w:tcPr>
          <w:p>
            <w:pPr>
              <w:jc w:val="center"/>
              <w:rPr>
                <w:rFonts w:hint="eastAsia" w:ascii="宋体" w:hAnsi="宋体" w:cs="宋体"/>
                <w:kern w:val="0"/>
                <w:szCs w:val="21"/>
              </w:rPr>
            </w:pPr>
            <w:r>
              <w:rPr>
                <w:rFonts w:hint="eastAsia" w:ascii="宋体" w:hAnsi="宋体" w:cs="宋体"/>
                <w:kern w:val="0"/>
                <w:szCs w:val="21"/>
              </w:rPr>
              <w:t>无锡朗盛</w:t>
            </w:r>
          </w:p>
        </w:tc>
        <w:tc>
          <w:tcPr>
            <w:tcW w:w="712" w:type="pct"/>
            <w:noWrap w:val="0"/>
            <w:vAlign w:val="center"/>
          </w:tcPr>
          <w:p>
            <w:pPr>
              <w:jc w:val="left"/>
              <w:rPr>
                <w:rFonts w:hint="eastAsia" w:ascii="宋体" w:hAnsi="宋体" w:cs="宋体"/>
                <w:kern w:val="0"/>
                <w:szCs w:val="21"/>
              </w:rPr>
            </w:pPr>
            <w:r>
              <w:rPr>
                <w:rFonts w:hint="eastAsia" w:ascii="宋体" w:hAnsi="宋体" w:cs="宋体"/>
                <w:color w:val="000000"/>
                <w:kern w:val="0"/>
                <w:szCs w:val="21"/>
                <w:lang w:bidi="ar"/>
              </w:rPr>
              <w:t>定制</w:t>
            </w:r>
          </w:p>
        </w:tc>
        <w:tc>
          <w:tcPr>
            <w:tcW w:w="358"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w:t>
            </w:r>
          </w:p>
        </w:tc>
        <w:tc>
          <w:tcPr>
            <w:tcW w:w="395"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项</w:t>
            </w:r>
          </w:p>
        </w:tc>
        <w:tc>
          <w:tcPr>
            <w:tcW w:w="516"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 xml:space="preserve">5000.00 </w:t>
            </w:r>
          </w:p>
        </w:tc>
        <w:tc>
          <w:tcPr>
            <w:tcW w:w="712" w:type="pct"/>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 xml:space="preserve">5000.00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11" w:type="pct"/>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45</w:t>
            </w:r>
          </w:p>
        </w:tc>
        <w:tc>
          <w:tcPr>
            <w:tcW w:w="1387" w:type="pct"/>
            <w:noWrap w:val="0"/>
            <w:vAlign w:val="center"/>
          </w:tcPr>
          <w:p>
            <w:pPr>
              <w:widowControl/>
              <w:jc w:val="center"/>
              <w:textAlignment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总价</w:t>
            </w:r>
          </w:p>
        </w:tc>
        <w:tc>
          <w:tcPr>
            <w:tcW w:w="2589" w:type="pct"/>
            <w:gridSpan w:val="5"/>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大写：肆拾贰万元整</w:t>
            </w:r>
          </w:p>
        </w:tc>
        <w:tc>
          <w:tcPr>
            <w:tcW w:w="712" w:type="pct"/>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420000.00</w:t>
            </w:r>
          </w:p>
        </w:tc>
      </w:tr>
    </w:tbl>
    <w:p>
      <w:pPr>
        <w:pStyle w:val="4"/>
        <w:spacing w:line="400" w:lineRule="atLeast"/>
        <w:rPr>
          <w:rFonts w:hAnsi="宋体"/>
          <w:sz w:val="21"/>
          <w:szCs w:val="21"/>
        </w:rPr>
      </w:pPr>
      <w:r>
        <w:rPr>
          <w:rFonts w:hint="eastAsia" w:hAnsi="宋体"/>
          <w:sz w:val="21"/>
          <w:szCs w:val="21"/>
        </w:rPr>
        <w:t>二、合同标的技术要求详见技术文件或图纸</w:t>
      </w:r>
    </w:p>
    <w:p>
      <w:pPr>
        <w:spacing w:line="400" w:lineRule="atLeast"/>
        <w:outlineLvl w:val="0"/>
        <w:rPr>
          <w:rFonts w:ascii="宋体" w:hAnsi="宋体"/>
          <w:snapToGrid w:val="0"/>
          <w:szCs w:val="21"/>
        </w:rPr>
      </w:pPr>
      <w:bookmarkStart w:id="0" w:name="_Toc251500492"/>
      <w:bookmarkStart w:id="1" w:name="_Toc154830750"/>
      <w:bookmarkStart w:id="2" w:name="_Toc430158359"/>
      <w:bookmarkStart w:id="3" w:name="_Toc471819251"/>
      <w:r>
        <w:rPr>
          <w:rFonts w:hint="eastAsia" w:ascii="宋体" w:hAnsi="宋体"/>
          <w:snapToGrid w:val="0"/>
          <w:szCs w:val="21"/>
        </w:rPr>
        <w:t>三、交货与运输</w:t>
      </w:r>
      <w:bookmarkEnd w:id="0"/>
      <w:bookmarkEnd w:id="1"/>
      <w:bookmarkEnd w:id="2"/>
      <w:bookmarkEnd w:id="3"/>
    </w:p>
    <w:p>
      <w:pPr>
        <w:spacing w:line="400" w:lineRule="atLeast"/>
        <w:ind w:firstLine="327" w:firstLineChars="156"/>
        <w:outlineLvl w:val="0"/>
        <w:rPr>
          <w:rFonts w:ascii="宋体" w:hAnsi="宋体"/>
          <w:snapToGrid w:val="0"/>
          <w:szCs w:val="21"/>
        </w:rPr>
      </w:pPr>
      <w:bookmarkStart w:id="4" w:name="_Toc154830751"/>
      <w:bookmarkStart w:id="5" w:name="_Toc430158360"/>
      <w:bookmarkStart w:id="6" w:name="_Toc471819252"/>
      <w:bookmarkStart w:id="7" w:name="_Toc251500493"/>
      <w:r>
        <w:rPr>
          <w:rFonts w:hint="eastAsia" w:ascii="宋体" w:hAnsi="宋体"/>
          <w:snapToGrid w:val="0"/>
          <w:szCs w:val="21"/>
        </w:rPr>
        <w:t>1．货物交付</w:t>
      </w:r>
      <w:bookmarkEnd w:id="4"/>
      <w:bookmarkEnd w:id="5"/>
      <w:bookmarkEnd w:id="6"/>
      <w:bookmarkEnd w:id="7"/>
    </w:p>
    <w:p>
      <w:pPr>
        <w:spacing w:line="400" w:lineRule="atLeast"/>
        <w:ind w:firstLine="420" w:firstLineChars="200"/>
        <w:rPr>
          <w:rFonts w:ascii="宋体" w:hAnsi="宋体"/>
          <w:snapToGrid w:val="0"/>
          <w:szCs w:val="21"/>
        </w:rPr>
      </w:pPr>
      <w:r>
        <w:rPr>
          <w:rFonts w:hint="eastAsia" w:ascii="宋体" w:hAnsi="宋体"/>
          <w:snapToGrid w:val="0"/>
          <w:szCs w:val="21"/>
        </w:rPr>
        <w:t>本合同货物的交货日期为</w:t>
      </w:r>
      <w:r>
        <w:rPr>
          <w:rFonts w:hint="eastAsia" w:ascii="宋体" w:hAnsi="宋体"/>
          <w:snapToGrid w:val="0"/>
          <w:szCs w:val="21"/>
          <w:u w:val="single"/>
        </w:rPr>
        <w:t>2019</w:t>
      </w:r>
      <w:r>
        <w:rPr>
          <w:rFonts w:hint="eastAsia" w:ascii="宋体" w:hAnsi="宋体"/>
          <w:snapToGrid w:val="0"/>
          <w:szCs w:val="21"/>
        </w:rPr>
        <w:t>年</w:t>
      </w:r>
      <w:r>
        <w:rPr>
          <w:rFonts w:hint="eastAsia" w:ascii="宋体" w:hAnsi="宋体"/>
          <w:snapToGrid w:val="0"/>
          <w:szCs w:val="21"/>
          <w:u w:val="single"/>
          <w:lang w:val="en-US" w:eastAsia="zh-CN"/>
        </w:rPr>
        <w:t>12</w:t>
      </w:r>
      <w:r>
        <w:rPr>
          <w:rFonts w:hint="eastAsia" w:ascii="宋体" w:hAnsi="宋体"/>
          <w:snapToGrid w:val="0"/>
          <w:szCs w:val="21"/>
        </w:rPr>
        <w:t>月</w:t>
      </w:r>
      <w:r>
        <w:rPr>
          <w:rFonts w:hint="eastAsia" w:ascii="宋体" w:hAnsi="宋体"/>
          <w:snapToGrid w:val="0"/>
          <w:szCs w:val="21"/>
          <w:u w:val="single"/>
          <w:lang w:val="en-US" w:eastAsia="zh-CN"/>
        </w:rPr>
        <w:t>1</w:t>
      </w:r>
      <w:bookmarkStart w:id="32" w:name="_GoBack"/>
      <w:bookmarkEnd w:id="32"/>
      <w:r>
        <w:rPr>
          <w:rFonts w:hint="eastAsia" w:ascii="宋体" w:hAnsi="宋体"/>
          <w:snapToGrid w:val="0"/>
          <w:szCs w:val="21"/>
        </w:rPr>
        <w:t>日，（具体需方以电报或传真的形式书面通知供方。）以货物运到现场的时间为准。此日期或甲方书面通知变更后的日期为计算迟交货物违约金的依据。</w:t>
      </w:r>
    </w:p>
    <w:p>
      <w:pPr>
        <w:spacing w:line="400" w:lineRule="atLeast"/>
        <w:ind w:firstLine="348" w:firstLineChars="166"/>
        <w:rPr>
          <w:rFonts w:ascii="宋体" w:hAnsi="宋体"/>
          <w:snapToGrid w:val="0"/>
          <w:szCs w:val="21"/>
        </w:rPr>
      </w:pPr>
      <w:r>
        <w:rPr>
          <w:rFonts w:hint="eastAsia" w:ascii="宋体" w:hAnsi="宋体"/>
          <w:szCs w:val="21"/>
        </w:rPr>
        <w:t>乙方</w:t>
      </w:r>
      <w:r>
        <w:rPr>
          <w:rFonts w:hint="eastAsia" w:ascii="宋体" w:hAnsi="宋体"/>
          <w:snapToGrid w:val="0"/>
          <w:szCs w:val="21"/>
        </w:rPr>
        <w:t>承担合同项下货物的运输及为货物办理运输保险、并承担由此所需的费用。</w:t>
      </w:r>
    </w:p>
    <w:p>
      <w:pPr>
        <w:spacing w:line="400" w:lineRule="atLeast"/>
        <w:ind w:firstLine="348" w:firstLineChars="166"/>
        <w:rPr>
          <w:rFonts w:ascii="宋体" w:hAnsi="宋体"/>
          <w:snapToGrid w:val="0"/>
          <w:szCs w:val="21"/>
        </w:rPr>
      </w:pPr>
      <w:r>
        <w:rPr>
          <w:rFonts w:hint="eastAsia" w:ascii="宋体" w:hAnsi="宋体"/>
          <w:snapToGrid w:val="0"/>
          <w:szCs w:val="21"/>
        </w:rPr>
        <w:t>2．资料交付</w:t>
      </w:r>
    </w:p>
    <w:p>
      <w:pPr>
        <w:spacing w:line="400" w:lineRule="atLeast"/>
        <w:ind w:firstLine="348" w:firstLineChars="166"/>
        <w:rPr>
          <w:rFonts w:ascii="宋体" w:hAnsi="宋体"/>
          <w:snapToGrid w:val="0"/>
          <w:szCs w:val="21"/>
        </w:rPr>
      </w:pPr>
      <w:r>
        <w:rPr>
          <w:rFonts w:hint="eastAsia" w:ascii="宋体" w:hAnsi="宋体"/>
          <w:szCs w:val="21"/>
        </w:rPr>
        <w:t>乙</w:t>
      </w:r>
      <w:r>
        <w:rPr>
          <w:rFonts w:hint="eastAsia" w:ascii="宋体" w:hAnsi="宋体"/>
          <w:snapToGrid w:val="0"/>
          <w:szCs w:val="21"/>
        </w:rPr>
        <w:t>方应在交付货物的同时向甲方提供</w:t>
      </w:r>
      <w:r>
        <w:rPr>
          <w:rFonts w:hint="eastAsia" w:ascii="宋体" w:hAnsi="宋体"/>
          <w:szCs w:val="21"/>
        </w:rPr>
        <w:t>全套随机文件（含产品合格证书、原理图、使用维护说明书、验收报告书）壹套</w:t>
      </w:r>
      <w:r>
        <w:rPr>
          <w:rFonts w:hint="eastAsia" w:ascii="宋体" w:hAnsi="宋体"/>
          <w:snapToGrid w:val="0"/>
          <w:szCs w:val="21"/>
        </w:rPr>
        <w:t>。</w:t>
      </w:r>
    </w:p>
    <w:p>
      <w:pPr>
        <w:spacing w:line="400" w:lineRule="atLeast"/>
        <w:rPr>
          <w:rFonts w:ascii="宋体" w:hAnsi="宋体"/>
          <w:snapToGrid w:val="0"/>
          <w:szCs w:val="21"/>
        </w:rPr>
      </w:pPr>
      <w:r>
        <w:rPr>
          <w:rFonts w:hint="eastAsia" w:ascii="宋体" w:hAnsi="宋体"/>
          <w:snapToGrid w:val="0"/>
          <w:szCs w:val="21"/>
        </w:rPr>
        <w:t xml:space="preserve">   3．交货地点</w:t>
      </w:r>
    </w:p>
    <w:p>
      <w:pPr>
        <w:spacing w:line="400" w:lineRule="atLeast"/>
        <w:ind w:firstLine="420" w:firstLineChars="200"/>
        <w:rPr>
          <w:rFonts w:ascii="宋体" w:hAnsi="宋体"/>
          <w:snapToGrid w:val="0"/>
          <w:szCs w:val="21"/>
        </w:rPr>
      </w:pPr>
      <w:r>
        <w:rPr>
          <w:rFonts w:hint="eastAsia" w:ascii="宋体" w:hAnsi="宋体"/>
          <w:szCs w:val="21"/>
        </w:rPr>
        <w:t>乙</w:t>
      </w:r>
      <w:r>
        <w:rPr>
          <w:rFonts w:hint="eastAsia" w:ascii="宋体" w:hAnsi="宋体"/>
          <w:snapToGrid w:val="0"/>
          <w:szCs w:val="21"/>
        </w:rPr>
        <w:t>方应将货物运到甲方指定的地址。货物现场交付，需方检验无误，签署收货通知单后，货物所有权转移给需方。</w:t>
      </w:r>
    </w:p>
    <w:p>
      <w:pPr>
        <w:pStyle w:val="4"/>
        <w:spacing w:line="400" w:lineRule="atLeast"/>
        <w:ind w:firstLine="420" w:firstLineChars="200"/>
        <w:rPr>
          <w:rFonts w:hAnsi="宋体"/>
          <w:sz w:val="21"/>
          <w:szCs w:val="21"/>
        </w:rPr>
      </w:pPr>
      <w:r>
        <w:rPr>
          <w:rFonts w:hint="eastAsia" w:hAnsi="宋体"/>
          <w:sz w:val="21"/>
          <w:szCs w:val="21"/>
        </w:rPr>
        <w:t>四、包装</w:t>
      </w:r>
    </w:p>
    <w:p>
      <w:pPr>
        <w:spacing w:line="400" w:lineRule="atLeast"/>
        <w:ind w:firstLine="420" w:firstLineChars="200"/>
        <w:rPr>
          <w:rFonts w:ascii="宋体" w:hAnsi="宋体"/>
          <w:szCs w:val="21"/>
        </w:rPr>
      </w:pPr>
      <w:r>
        <w:rPr>
          <w:rFonts w:hint="eastAsia" w:ascii="宋体" w:hAnsi="宋体"/>
          <w:szCs w:val="21"/>
        </w:rPr>
        <w:t>1、乙</w:t>
      </w:r>
      <w:r>
        <w:rPr>
          <w:rFonts w:hint="eastAsia" w:ascii="宋体" w:hAnsi="宋体"/>
          <w:snapToGrid w:val="0"/>
          <w:szCs w:val="21"/>
        </w:rPr>
        <w:t>方</w:t>
      </w:r>
      <w:r>
        <w:rPr>
          <w:rFonts w:hint="eastAsia" w:ascii="宋体" w:hAnsi="宋体"/>
          <w:szCs w:val="21"/>
        </w:rPr>
        <w:t>保证本合同范围内货物的包装能满足长途运输及装卸的需要，并依据所供物资特点分别采取防潮、防霉、防锈、防腐、防冻措施。</w:t>
      </w:r>
    </w:p>
    <w:p>
      <w:pPr>
        <w:spacing w:line="400" w:lineRule="atLeast"/>
        <w:ind w:firstLine="420" w:firstLineChars="200"/>
        <w:rPr>
          <w:rFonts w:ascii="宋体" w:hAnsi="宋体"/>
          <w:szCs w:val="21"/>
        </w:rPr>
      </w:pPr>
      <w:r>
        <w:rPr>
          <w:rFonts w:hint="eastAsia" w:ascii="宋体" w:hAnsi="宋体"/>
          <w:szCs w:val="21"/>
        </w:rPr>
        <w:t>2、乙</w:t>
      </w:r>
      <w:r>
        <w:rPr>
          <w:rFonts w:hint="eastAsia" w:ascii="宋体" w:hAnsi="宋体"/>
          <w:snapToGrid w:val="0"/>
          <w:szCs w:val="21"/>
        </w:rPr>
        <w:t>方</w:t>
      </w:r>
      <w:r>
        <w:rPr>
          <w:rFonts w:hint="eastAsia" w:ascii="宋体" w:hAnsi="宋体"/>
          <w:szCs w:val="21"/>
        </w:rPr>
        <w:t>应承担由于货物发生损坏或丢失而补供导致的延迟交付货物的违约责任。</w:t>
      </w:r>
    </w:p>
    <w:p>
      <w:pPr>
        <w:spacing w:line="400" w:lineRule="atLeast"/>
        <w:ind w:firstLine="420" w:firstLineChars="200"/>
        <w:outlineLvl w:val="0"/>
        <w:rPr>
          <w:rFonts w:ascii="宋体" w:hAnsi="宋体"/>
          <w:szCs w:val="21"/>
        </w:rPr>
      </w:pPr>
      <w:bookmarkStart w:id="8" w:name="_Toc471819253"/>
      <w:bookmarkStart w:id="9" w:name="_Toc430158361"/>
      <w:bookmarkStart w:id="10" w:name="_Toc154830753"/>
      <w:bookmarkStart w:id="11" w:name="_Toc251500494"/>
      <w:r>
        <w:rPr>
          <w:rFonts w:hint="eastAsia" w:ascii="宋体" w:hAnsi="宋体"/>
          <w:szCs w:val="21"/>
        </w:rPr>
        <w:t>五、标记</w:t>
      </w:r>
      <w:bookmarkEnd w:id="8"/>
      <w:bookmarkEnd w:id="9"/>
      <w:bookmarkEnd w:id="10"/>
      <w:bookmarkEnd w:id="11"/>
    </w:p>
    <w:p>
      <w:pPr>
        <w:spacing w:line="400" w:lineRule="atLeast"/>
        <w:ind w:firstLine="420" w:firstLineChars="200"/>
        <w:rPr>
          <w:rFonts w:ascii="宋体" w:hAnsi="宋体"/>
          <w:szCs w:val="21"/>
        </w:rPr>
      </w:pPr>
      <w:r>
        <w:rPr>
          <w:rFonts w:hint="eastAsia" w:ascii="宋体" w:hAnsi="宋体"/>
          <w:szCs w:val="21"/>
        </w:rPr>
        <w:t>1、每件包装箱的两个侧面，应用不褪色油漆写明合同号、到货站、收货人、货物名称、箱（件）号、体积（长*宽*高，以毫米表示）、毛（净）重以及生产日期和生产工厂。</w:t>
      </w:r>
    </w:p>
    <w:p>
      <w:pPr>
        <w:spacing w:line="400" w:lineRule="atLeast"/>
        <w:ind w:firstLine="420" w:firstLineChars="200"/>
        <w:rPr>
          <w:rFonts w:ascii="宋体" w:hAnsi="宋体"/>
          <w:szCs w:val="21"/>
        </w:rPr>
      </w:pPr>
      <w:r>
        <w:rPr>
          <w:rFonts w:hint="eastAsia" w:ascii="宋体" w:hAnsi="宋体"/>
          <w:szCs w:val="21"/>
        </w:rPr>
        <w:t>2、乙</w:t>
      </w:r>
      <w:r>
        <w:rPr>
          <w:rFonts w:hint="eastAsia" w:ascii="宋体" w:hAnsi="宋体"/>
          <w:snapToGrid w:val="0"/>
          <w:szCs w:val="21"/>
        </w:rPr>
        <w:t>方</w:t>
      </w:r>
      <w:r>
        <w:rPr>
          <w:rFonts w:hint="eastAsia" w:ascii="宋体" w:hAnsi="宋体"/>
          <w:szCs w:val="21"/>
        </w:rPr>
        <w:t>须在包装箱上明显标注“轻放”、“勿倒置”、“防雨”等字样。</w:t>
      </w:r>
    </w:p>
    <w:p>
      <w:pPr>
        <w:spacing w:line="400" w:lineRule="atLeast"/>
        <w:ind w:firstLine="420" w:firstLineChars="200"/>
        <w:rPr>
          <w:rFonts w:ascii="宋体" w:hAnsi="宋体"/>
          <w:szCs w:val="21"/>
        </w:rPr>
      </w:pPr>
      <w:r>
        <w:rPr>
          <w:rFonts w:hint="eastAsia" w:ascii="宋体" w:hAnsi="宋体"/>
          <w:szCs w:val="21"/>
        </w:rPr>
        <w:t>3、毛重2吨以上货物，应在包装箱侧面标明起吊挂绳的位置。</w:t>
      </w:r>
    </w:p>
    <w:p>
      <w:pPr>
        <w:pStyle w:val="4"/>
        <w:spacing w:line="400" w:lineRule="atLeast"/>
        <w:ind w:firstLine="420" w:firstLineChars="200"/>
        <w:rPr>
          <w:rFonts w:hAnsi="宋体"/>
          <w:sz w:val="21"/>
          <w:szCs w:val="21"/>
        </w:rPr>
      </w:pPr>
      <w:r>
        <w:rPr>
          <w:rFonts w:hint="eastAsia" w:hAnsi="宋体"/>
          <w:sz w:val="21"/>
          <w:szCs w:val="21"/>
        </w:rPr>
        <w:t>4、乙</w:t>
      </w:r>
      <w:r>
        <w:rPr>
          <w:rFonts w:hint="eastAsia" w:hAnsi="宋体"/>
          <w:snapToGrid w:val="0"/>
          <w:sz w:val="21"/>
          <w:szCs w:val="21"/>
        </w:rPr>
        <w:t>方</w:t>
      </w:r>
      <w:r>
        <w:rPr>
          <w:rFonts w:hint="eastAsia" w:hAnsi="宋体"/>
          <w:sz w:val="21"/>
          <w:szCs w:val="21"/>
        </w:rPr>
        <w:t>不得用同一箱号标注任何两个箱件。包装箱应连续编号，并在全部装运过程中保持箱号顺序始终连贯</w:t>
      </w:r>
    </w:p>
    <w:p>
      <w:pPr>
        <w:spacing w:line="400" w:lineRule="atLeast"/>
        <w:ind w:firstLine="420" w:firstLineChars="200"/>
        <w:outlineLvl w:val="0"/>
        <w:rPr>
          <w:rFonts w:ascii="宋体" w:hAnsi="宋体"/>
          <w:szCs w:val="21"/>
        </w:rPr>
      </w:pPr>
      <w:bookmarkStart w:id="12" w:name="_Toc251500495"/>
      <w:bookmarkStart w:id="13" w:name="_Toc430158362"/>
      <w:bookmarkStart w:id="14" w:name="_Toc154830754"/>
      <w:bookmarkStart w:id="15" w:name="_Toc471819254"/>
      <w:r>
        <w:rPr>
          <w:rFonts w:hint="eastAsia" w:ascii="宋体" w:hAnsi="宋体"/>
          <w:szCs w:val="21"/>
        </w:rPr>
        <w:t>六、发运通知</w:t>
      </w:r>
      <w:bookmarkEnd w:id="12"/>
      <w:bookmarkEnd w:id="13"/>
      <w:bookmarkEnd w:id="14"/>
      <w:bookmarkEnd w:id="15"/>
    </w:p>
    <w:p>
      <w:pPr>
        <w:spacing w:line="400" w:lineRule="atLeast"/>
        <w:ind w:firstLine="420" w:firstLineChars="200"/>
        <w:rPr>
          <w:rFonts w:ascii="宋体" w:hAnsi="宋体"/>
          <w:szCs w:val="21"/>
        </w:rPr>
      </w:pPr>
      <w:r>
        <w:rPr>
          <w:rFonts w:hint="eastAsia" w:ascii="宋体" w:hAnsi="宋体"/>
          <w:szCs w:val="21"/>
        </w:rPr>
        <w:t>乙</w:t>
      </w:r>
      <w:r>
        <w:rPr>
          <w:rFonts w:hint="eastAsia" w:ascii="宋体" w:hAnsi="宋体"/>
          <w:snapToGrid w:val="0"/>
          <w:szCs w:val="21"/>
        </w:rPr>
        <w:t>方</w:t>
      </w:r>
      <w:r>
        <w:rPr>
          <w:rFonts w:hint="eastAsia" w:ascii="宋体" w:hAnsi="宋体"/>
          <w:szCs w:val="21"/>
        </w:rPr>
        <w:t>应在货物正式发运5天前，以电报或传真书面通知需方及收货单位该批货物的合同号、品名、数量、体积、毛重和件数。货物启运后，乙</w:t>
      </w:r>
      <w:r>
        <w:rPr>
          <w:rFonts w:hint="eastAsia" w:ascii="宋体" w:hAnsi="宋体"/>
          <w:snapToGrid w:val="0"/>
          <w:szCs w:val="21"/>
        </w:rPr>
        <w:t>方</w:t>
      </w:r>
      <w:r>
        <w:rPr>
          <w:rFonts w:hint="eastAsia" w:ascii="宋体" w:hAnsi="宋体"/>
          <w:szCs w:val="21"/>
        </w:rPr>
        <w:t>应在24小时之内再次以电报或传真方式准确通知甲方及收货单位上述内容及预计到货时间。由于乙</w:t>
      </w:r>
      <w:r>
        <w:rPr>
          <w:rFonts w:hint="eastAsia" w:ascii="宋体" w:hAnsi="宋体"/>
          <w:snapToGrid w:val="0"/>
          <w:szCs w:val="21"/>
        </w:rPr>
        <w:t>方</w:t>
      </w:r>
      <w:r>
        <w:rPr>
          <w:rFonts w:hint="eastAsia" w:ascii="宋体" w:hAnsi="宋体"/>
          <w:szCs w:val="21"/>
        </w:rPr>
        <w:t>未能及时、准确地提供发运通知而使甲方发生的任何费用均由乙</w:t>
      </w:r>
      <w:r>
        <w:rPr>
          <w:rFonts w:hint="eastAsia" w:ascii="宋体" w:hAnsi="宋体"/>
          <w:snapToGrid w:val="0"/>
          <w:szCs w:val="21"/>
        </w:rPr>
        <w:t>方</w:t>
      </w:r>
      <w:r>
        <w:rPr>
          <w:rFonts w:hint="eastAsia" w:ascii="宋体" w:hAnsi="宋体"/>
          <w:szCs w:val="21"/>
        </w:rPr>
        <w:t>承担。</w:t>
      </w:r>
    </w:p>
    <w:p>
      <w:pPr>
        <w:spacing w:line="400" w:lineRule="atLeast"/>
        <w:ind w:firstLine="315" w:firstLineChars="150"/>
        <w:outlineLvl w:val="0"/>
        <w:rPr>
          <w:rFonts w:ascii="宋体" w:hAnsi="宋体"/>
          <w:snapToGrid w:val="0"/>
          <w:szCs w:val="21"/>
        </w:rPr>
      </w:pPr>
      <w:bookmarkStart w:id="16" w:name="_Toc154830755"/>
      <w:bookmarkStart w:id="17" w:name="_Toc471819255"/>
      <w:bookmarkStart w:id="18" w:name="_Toc251500496"/>
      <w:bookmarkStart w:id="19" w:name="_Toc430158363"/>
      <w:r>
        <w:rPr>
          <w:rFonts w:hint="eastAsia" w:ascii="宋体" w:hAnsi="宋体"/>
          <w:snapToGrid w:val="0"/>
          <w:szCs w:val="21"/>
        </w:rPr>
        <w:t>七、检验和验收</w:t>
      </w:r>
      <w:bookmarkEnd w:id="16"/>
      <w:bookmarkEnd w:id="17"/>
      <w:bookmarkEnd w:id="18"/>
      <w:bookmarkEnd w:id="19"/>
    </w:p>
    <w:p>
      <w:pPr>
        <w:spacing w:line="400" w:lineRule="atLeast"/>
        <w:ind w:firstLine="420" w:firstLineChars="200"/>
        <w:rPr>
          <w:rFonts w:ascii="宋体" w:hAnsi="宋体"/>
          <w:snapToGrid w:val="0"/>
          <w:szCs w:val="21"/>
        </w:rPr>
      </w:pPr>
      <w:r>
        <w:rPr>
          <w:rFonts w:hint="eastAsia" w:ascii="宋体" w:hAnsi="宋体"/>
          <w:snapToGrid w:val="0"/>
          <w:szCs w:val="21"/>
        </w:rPr>
        <w:t>1、</w:t>
      </w:r>
      <w:r>
        <w:rPr>
          <w:rFonts w:hint="eastAsia" w:ascii="宋体" w:hAnsi="宋体"/>
          <w:szCs w:val="21"/>
        </w:rPr>
        <w:t>乙</w:t>
      </w:r>
      <w:r>
        <w:rPr>
          <w:rFonts w:hint="eastAsia" w:ascii="宋体" w:hAnsi="宋体"/>
          <w:snapToGrid w:val="0"/>
          <w:szCs w:val="21"/>
        </w:rPr>
        <w:t>方提供的所有货物在交接过程中都须进行严格的检验和试验。所有检验、试验必须有正式的记录文件，这些记录文件作为技术资料的组成部分应送达甲方。</w:t>
      </w:r>
    </w:p>
    <w:p>
      <w:pPr>
        <w:spacing w:line="400" w:lineRule="atLeast"/>
        <w:ind w:firstLine="420" w:firstLineChars="200"/>
        <w:rPr>
          <w:rFonts w:ascii="宋体" w:hAnsi="宋体"/>
          <w:snapToGrid w:val="0"/>
          <w:szCs w:val="21"/>
        </w:rPr>
      </w:pPr>
      <w:r>
        <w:rPr>
          <w:rFonts w:hint="eastAsia" w:ascii="宋体" w:hAnsi="宋体"/>
          <w:snapToGrid w:val="0"/>
          <w:szCs w:val="21"/>
        </w:rPr>
        <w:t>2、如有任何货物经检验和试验不符合技术规范的要求，甲方可以拒收。</w:t>
      </w:r>
      <w:r>
        <w:rPr>
          <w:rFonts w:hint="eastAsia" w:ascii="宋体" w:hAnsi="宋体"/>
          <w:szCs w:val="21"/>
        </w:rPr>
        <w:t>乙</w:t>
      </w:r>
      <w:r>
        <w:rPr>
          <w:rFonts w:hint="eastAsia" w:ascii="宋体" w:hAnsi="宋体"/>
          <w:snapToGrid w:val="0"/>
          <w:szCs w:val="21"/>
        </w:rPr>
        <w:t xml:space="preserve">方应更换被拒收的货物，使之符合技术规范书的要求，供方承担由此发生的一切费用。           </w:t>
      </w:r>
    </w:p>
    <w:p>
      <w:pPr>
        <w:spacing w:line="400" w:lineRule="atLeast"/>
        <w:ind w:firstLine="420" w:firstLineChars="200"/>
        <w:rPr>
          <w:rFonts w:ascii="宋体" w:hAnsi="宋体"/>
          <w:snapToGrid w:val="0"/>
          <w:szCs w:val="21"/>
        </w:rPr>
      </w:pPr>
      <w:r>
        <w:rPr>
          <w:rFonts w:hint="eastAsia" w:ascii="宋体" w:hAnsi="宋体"/>
          <w:snapToGrid w:val="0"/>
          <w:szCs w:val="21"/>
        </w:rPr>
        <w:t>3、货物运达目的地后，甲方通知供方派员赴现场共同清验交收。</w:t>
      </w:r>
    </w:p>
    <w:p>
      <w:pPr>
        <w:spacing w:line="400" w:lineRule="atLeast"/>
        <w:rPr>
          <w:rFonts w:ascii="宋体" w:hAnsi="宋体"/>
          <w:snapToGrid w:val="0"/>
          <w:szCs w:val="21"/>
        </w:rPr>
      </w:pPr>
      <w:r>
        <w:rPr>
          <w:rFonts w:hint="eastAsia" w:ascii="宋体" w:hAnsi="宋体"/>
          <w:snapToGrid w:val="0"/>
          <w:szCs w:val="21"/>
        </w:rPr>
        <w:t xml:space="preserve">    4、清验中，若发现货物由于非甲方原因（包括运输）发生任何损坏、缺陷、缺少或与合同规定的质量标准和规范不符，应做好记录，并由双方代表签字，各执一份，作为甲方向供方提出修理、更换、索赔的依据。</w:t>
      </w:r>
    </w:p>
    <w:p>
      <w:pPr>
        <w:spacing w:line="400" w:lineRule="atLeast"/>
        <w:rPr>
          <w:rFonts w:ascii="宋体" w:hAnsi="宋体"/>
          <w:snapToGrid w:val="0"/>
          <w:szCs w:val="21"/>
        </w:rPr>
      </w:pPr>
      <w:r>
        <w:rPr>
          <w:rFonts w:hint="eastAsia" w:ascii="宋体" w:hAnsi="宋体"/>
          <w:snapToGrid w:val="0"/>
          <w:szCs w:val="21"/>
        </w:rPr>
        <w:t xml:space="preserve">    5、若</w:t>
      </w:r>
      <w:r>
        <w:rPr>
          <w:rFonts w:hint="eastAsia" w:ascii="宋体" w:hAnsi="宋体"/>
          <w:szCs w:val="21"/>
        </w:rPr>
        <w:t>乙</w:t>
      </w:r>
      <w:r>
        <w:rPr>
          <w:rFonts w:hint="eastAsia" w:ascii="宋体" w:hAnsi="宋体"/>
          <w:snapToGrid w:val="0"/>
          <w:szCs w:val="21"/>
        </w:rPr>
        <w:t>方代表未按约定时间赴现场参加验收，甲方有权自行开箱清点检验，其检验结果和记录对双方同样有效，并作为甲方向供方索赔的有效证据。</w:t>
      </w:r>
    </w:p>
    <w:p>
      <w:pPr>
        <w:spacing w:line="400" w:lineRule="atLeast"/>
        <w:rPr>
          <w:rFonts w:ascii="宋体" w:hAnsi="宋体"/>
          <w:snapToGrid w:val="0"/>
          <w:szCs w:val="21"/>
        </w:rPr>
      </w:pPr>
      <w:r>
        <w:rPr>
          <w:rFonts w:hint="eastAsia" w:ascii="宋体" w:hAnsi="宋体"/>
          <w:snapToGrid w:val="0"/>
          <w:szCs w:val="21"/>
        </w:rPr>
        <w:t xml:space="preserve">    6、</w:t>
      </w:r>
      <w:r>
        <w:rPr>
          <w:rFonts w:hint="eastAsia" w:ascii="宋体" w:hAnsi="宋体"/>
          <w:szCs w:val="21"/>
        </w:rPr>
        <w:t>乙</w:t>
      </w:r>
      <w:r>
        <w:rPr>
          <w:rFonts w:hint="eastAsia" w:ascii="宋体" w:hAnsi="宋体"/>
          <w:snapToGrid w:val="0"/>
          <w:szCs w:val="21"/>
        </w:rPr>
        <w:t>方如对甲方提出的修理、更换、索赔要求有异议，应在接到甲方书面通知后3天内提出，并在该时间内自费派代表赴现场同甲方代表共同复验。</w:t>
      </w:r>
    </w:p>
    <w:p>
      <w:pPr>
        <w:spacing w:line="400" w:lineRule="atLeast"/>
        <w:rPr>
          <w:rFonts w:ascii="宋体" w:hAnsi="宋体"/>
          <w:snapToGrid w:val="0"/>
          <w:szCs w:val="21"/>
        </w:rPr>
      </w:pPr>
      <w:r>
        <w:rPr>
          <w:rFonts w:hint="eastAsia" w:ascii="宋体" w:hAnsi="宋体"/>
          <w:snapToGrid w:val="0"/>
          <w:szCs w:val="21"/>
        </w:rPr>
        <w:t xml:space="preserve">    7、</w:t>
      </w:r>
      <w:r>
        <w:rPr>
          <w:rFonts w:hint="eastAsia" w:ascii="宋体" w:hAnsi="宋体"/>
          <w:szCs w:val="21"/>
        </w:rPr>
        <w:t>乙</w:t>
      </w:r>
      <w:r>
        <w:rPr>
          <w:rFonts w:hint="eastAsia" w:ascii="宋体" w:hAnsi="宋体"/>
          <w:snapToGrid w:val="0"/>
          <w:szCs w:val="21"/>
        </w:rPr>
        <w:t>方在接到甲方按本合同规定提出的索赔通知后，应尽快修理、更换或补发短缺部分，由此产生的制造、修理和运费及保险费均由</w:t>
      </w:r>
      <w:r>
        <w:rPr>
          <w:rFonts w:hint="eastAsia" w:ascii="宋体" w:hAnsi="宋体"/>
          <w:szCs w:val="21"/>
        </w:rPr>
        <w:t>乙</w:t>
      </w:r>
      <w:r>
        <w:rPr>
          <w:rFonts w:hint="eastAsia" w:ascii="宋体" w:hAnsi="宋体"/>
          <w:snapToGrid w:val="0"/>
          <w:szCs w:val="21"/>
        </w:rPr>
        <w:t>方负担。上述索赔，甲方从付款中扣除。</w:t>
      </w:r>
    </w:p>
    <w:p>
      <w:pPr>
        <w:spacing w:line="400" w:lineRule="atLeast"/>
        <w:ind w:firstLine="420" w:firstLineChars="200"/>
        <w:rPr>
          <w:rFonts w:ascii="宋体" w:hAnsi="宋体"/>
          <w:snapToGrid w:val="0"/>
          <w:szCs w:val="21"/>
        </w:rPr>
      </w:pPr>
      <w:r>
        <w:rPr>
          <w:rFonts w:hint="eastAsia" w:ascii="宋体" w:hAnsi="宋体"/>
          <w:snapToGrid w:val="0"/>
          <w:szCs w:val="21"/>
        </w:rPr>
        <w:t>上述各项检验仅是现场的到货检验，尽管没有发现问题或供方已按索赔要求予以更换或修理均不能被视为</w:t>
      </w:r>
      <w:r>
        <w:rPr>
          <w:rFonts w:hint="eastAsia" w:ascii="宋体" w:hAnsi="宋体"/>
          <w:szCs w:val="21"/>
        </w:rPr>
        <w:t>乙</w:t>
      </w:r>
      <w:r>
        <w:rPr>
          <w:rFonts w:hint="eastAsia" w:ascii="宋体" w:hAnsi="宋体"/>
          <w:snapToGrid w:val="0"/>
          <w:szCs w:val="21"/>
        </w:rPr>
        <w:t>方应承担的质量保证责任的解除。</w:t>
      </w:r>
    </w:p>
    <w:p>
      <w:pPr>
        <w:spacing w:line="400" w:lineRule="atLeast"/>
        <w:ind w:firstLine="420" w:firstLineChars="200"/>
        <w:outlineLvl w:val="0"/>
        <w:rPr>
          <w:rFonts w:ascii="宋体" w:hAnsi="宋体"/>
          <w:snapToGrid w:val="0"/>
          <w:szCs w:val="21"/>
        </w:rPr>
      </w:pPr>
      <w:bookmarkStart w:id="20" w:name="_Toc471819256"/>
      <w:bookmarkStart w:id="21" w:name="_Toc154830756"/>
      <w:bookmarkStart w:id="22" w:name="_Toc430158364"/>
      <w:bookmarkStart w:id="23" w:name="_Toc251500497"/>
      <w:r>
        <w:rPr>
          <w:rFonts w:hint="eastAsia" w:ascii="宋体" w:hAnsi="宋体"/>
          <w:snapToGrid w:val="0"/>
          <w:szCs w:val="21"/>
        </w:rPr>
        <w:t>八、付款方式</w:t>
      </w:r>
      <w:bookmarkEnd w:id="20"/>
      <w:bookmarkEnd w:id="21"/>
      <w:bookmarkEnd w:id="22"/>
      <w:bookmarkEnd w:id="23"/>
    </w:p>
    <w:p>
      <w:pPr>
        <w:spacing w:line="500" w:lineRule="exact"/>
        <w:ind w:firstLine="413" w:firstLineChars="196"/>
        <w:rPr>
          <w:rFonts w:ascii="宋体" w:hAnsi="宋体" w:cs="宋体"/>
          <w:kern w:val="0"/>
          <w:sz w:val="24"/>
        </w:rPr>
      </w:pPr>
      <w:bookmarkStart w:id="24" w:name="_Toc251500498"/>
      <w:bookmarkStart w:id="25" w:name="_Toc430158366"/>
      <w:bookmarkStart w:id="26" w:name="_Toc471819258"/>
      <w:bookmarkStart w:id="27" w:name="_Toc154830757"/>
      <w:r>
        <w:rPr>
          <w:rFonts w:hint="eastAsia" w:ascii="宋体" w:hAnsi="宋体"/>
          <w:b/>
          <w:szCs w:val="21"/>
        </w:rPr>
        <w:t>无预付款，</w:t>
      </w:r>
      <w:r>
        <w:rPr>
          <w:rFonts w:hint="eastAsia"/>
          <w:b/>
        </w:rPr>
        <w:t>货到、安装调试、验收合格、老师培训后支付合同价的95%，</w:t>
      </w:r>
      <w:r>
        <w:rPr>
          <w:rFonts w:hint="eastAsia" w:ascii="宋体" w:hAnsi="宋体"/>
          <w:b/>
          <w:bCs/>
        </w:rPr>
        <w:t>剩余5%一年后支付给成交供应商（无息）</w:t>
      </w:r>
      <w:r>
        <w:rPr>
          <w:rFonts w:hint="eastAsia" w:ascii="宋体" w:hAnsi="宋体"/>
          <w:b/>
          <w:szCs w:val="21"/>
        </w:rPr>
        <w:t>。</w:t>
      </w:r>
    </w:p>
    <w:p>
      <w:pPr>
        <w:spacing w:line="400" w:lineRule="atLeast"/>
        <w:ind w:firstLine="420" w:firstLineChars="200"/>
        <w:outlineLvl w:val="0"/>
        <w:rPr>
          <w:rFonts w:ascii="宋体" w:hAnsi="宋体"/>
          <w:snapToGrid w:val="0"/>
          <w:szCs w:val="21"/>
        </w:rPr>
      </w:pPr>
      <w:r>
        <w:rPr>
          <w:rFonts w:hint="eastAsia" w:ascii="宋体" w:hAnsi="宋体"/>
          <w:snapToGrid w:val="0"/>
          <w:szCs w:val="21"/>
        </w:rPr>
        <w:t>九、质量保证期与售后服务</w:t>
      </w:r>
      <w:bookmarkEnd w:id="24"/>
      <w:bookmarkEnd w:id="25"/>
      <w:bookmarkEnd w:id="26"/>
      <w:bookmarkEnd w:id="27"/>
    </w:p>
    <w:p>
      <w:pPr>
        <w:spacing w:line="400" w:lineRule="atLeast"/>
        <w:rPr>
          <w:rFonts w:ascii="宋体" w:hAnsi="宋体"/>
          <w:snapToGrid w:val="0"/>
          <w:szCs w:val="21"/>
        </w:rPr>
      </w:pPr>
      <w:r>
        <w:rPr>
          <w:rFonts w:hint="eastAsia" w:ascii="宋体" w:hAnsi="宋体"/>
          <w:snapToGrid w:val="0"/>
          <w:szCs w:val="21"/>
        </w:rPr>
        <w:t xml:space="preserve">    质量保证期为货物通过试用后</w:t>
      </w:r>
      <w:r>
        <w:rPr>
          <w:rFonts w:hint="eastAsia" w:ascii="宋体" w:hAnsi="宋体"/>
          <w:snapToGrid w:val="0"/>
          <w:szCs w:val="21"/>
          <w:u w:val="single"/>
        </w:rPr>
        <w:t>3</w:t>
      </w:r>
      <w:r>
        <w:rPr>
          <w:rFonts w:hint="eastAsia" w:ascii="宋体" w:hAnsi="宋体"/>
          <w:snapToGrid w:val="0"/>
          <w:szCs w:val="21"/>
        </w:rPr>
        <w:t>年。</w:t>
      </w:r>
    </w:p>
    <w:p>
      <w:pPr>
        <w:spacing w:line="400" w:lineRule="atLeast"/>
        <w:ind w:firstLine="420" w:firstLineChars="200"/>
        <w:rPr>
          <w:rFonts w:ascii="宋体" w:hAnsi="宋体"/>
          <w:snapToGrid w:val="0"/>
          <w:szCs w:val="21"/>
        </w:rPr>
      </w:pPr>
      <w:r>
        <w:rPr>
          <w:rFonts w:hint="eastAsia" w:ascii="宋体" w:hAnsi="宋体"/>
          <w:szCs w:val="21"/>
        </w:rPr>
        <w:t>质量保证期内免费修理、更换（人为损坏除外）</w:t>
      </w:r>
      <w:r>
        <w:rPr>
          <w:rFonts w:hint="eastAsia" w:ascii="宋体" w:hAnsi="宋体"/>
          <w:snapToGrid w:val="0"/>
          <w:szCs w:val="21"/>
        </w:rPr>
        <w:t>。</w:t>
      </w:r>
    </w:p>
    <w:p>
      <w:pPr>
        <w:spacing w:line="400" w:lineRule="atLeast"/>
        <w:ind w:firstLine="315" w:firstLineChars="150"/>
        <w:outlineLvl w:val="0"/>
        <w:rPr>
          <w:rFonts w:ascii="宋体" w:hAnsi="宋体"/>
          <w:snapToGrid w:val="0"/>
          <w:szCs w:val="21"/>
        </w:rPr>
      </w:pPr>
      <w:bookmarkStart w:id="28" w:name="_Toc251500499"/>
      <w:bookmarkStart w:id="29" w:name="_Toc471819259"/>
      <w:bookmarkStart w:id="30" w:name="_Toc154830758"/>
      <w:bookmarkStart w:id="31" w:name="_Toc430158367"/>
      <w:r>
        <w:rPr>
          <w:rFonts w:hint="eastAsia" w:ascii="宋体" w:hAnsi="宋体"/>
          <w:snapToGrid w:val="0"/>
          <w:szCs w:val="21"/>
        </w:rPr>
        <w:t>十、违约责任</w:t>
      </w:r>
      <w:bookmarkEnd w:id="28"/>
      <w:bookmarkEnd w:id="29"/>
      <w:bookmarkEnd w:id="30"/>
      <w:bookmarkEnd w:id="31"/>
    </w:p>
    <w:p>
      <w:pPr>
        <w:pStyle w:val="4"/>
        <w:spacing w:line="400" w:lineRule="atLeast"/>
        <w:ind w:firstLine="315" w:firstLineChars="150"/>
        <w:rPr>
          <w:rFonts w:hAnsi="宋体"/>
          <w:sz w:val="21"/>
          <w:szCs w:val="21"/>
        </w:rPr>
      </w:pPr>
      <w:r>
        <w:rPr>
          <w:rFonts w:hint="eastAsia" w:hAnsi="宋体"/>
          <w:sz w:val="21"/>
          <w:szCs w:val="21"/>
        </w:rPr>
        <w:t>1、乙方不履行合同应当双倍返还定金,甲方不履行合同无权要求返还定金。</w:t>
      </w:r>
    </w:p>
    <w:p>
      <w:pPr>
        <w:pStyle w:val="4"/>
        <w:spacing w:line="400" w:lineRule="atLeast"/>
        <w:ind w:firstLine="420" w:firstLineChars="200"/>
        <w:rPr>
          <w:rFonts w:hAnsi="宋体"/>
          <w:sz w:val="21"/>
          <w:szCs w:val="21"/>
        </w:rPr>
      </w:pPr>
      <w:r>
        <w:rPr>
          <w:rFonts w:hint="eastAsia" w:hAnsi="宋体"/>
          <w:sz w:val="21"/>
          <w:szCs w:val="21"/>
        </w:rPr>
        <w:t>2、乙方逾期交货或者甲方逾期付款,应向对方支付违约金,迟延履行违约金以逾期部分价款总额每日万分之</w:t>
      </w:r>
      <w:r>
        <w:rPr>
          <w:rFonts w:hint="eastAsia" w:hAnsi="宋体"/>
          <w:sz w:val="21"/>
          <w:szCs w:val="21"/>
          <w:u w:val="single"/>
        </w:rPr>
        <w:t xml:space="preserve"> 八  </w:t>
      </w:r>
      <w:r>
        <w:rPr>
          <w:rFonts w:hint="eastAsia" w:hAnsi="宋体"/>
          <w:sz w:val="21"/>
          <w:szCs w:val="21"/>
        </w:rPr>
        <w:t>计算。任何一方逾期履行超过</w:t>
      </w:r>
      <w:r>
        <w:rPr>
          <w:rFonts w:hint="eastAsia" w:hAnsi="宋体"/>
          <w:sz w:val="21"/>
          <w:szCs w:val="21"/>
          <w:u w:val="single"/>
        </w:rPr>
        <w:t xml:space="preserve"> 十  </w:t>
      </w:r>
      <w:r>
        <w:rPr>
          <w:rFonts w:hint="eastAsia" w:hAnsi="宋体"/>
          <w:sz w:val="21"/>
          <w:szCs w:val="21"/>
        </w:rPr>
        <w:t>天，应当以逾期部分价款总额5％向对方支付违约金。违约方支付违约金后,对方有权要求继续履行合同。</w:t>
      </w:r>
    </w:p>
    <w:p>
      <w:pPr>
        <w:pStyle w:val="4"/>
        <w:spacing w:line="400" w:lineRule="atLeast"/>
        <w:ind w:firstLine="420" w:firstLineChars="200"/>
        <w:rPr>
          <w:rFonts w:hAnsi="宋体"/>
          <w:sz w:val="21"/>
          <w:szCs w:val="21"/>
        </w:rPr>
      </w:pPr>
      <w:r>
        <w:rPr>
          <w:rFonts w:hint="eastAsia" w:hAnsi="宋体"/>
          <w:sz w:val="21"/>
          <w:szCs w:val="21"/>
        </w:rPr>
        <w:t>3、提供的部件不符合谈判文件的技术要求，必须按要求进行修复、拆除或重新采购；若乙方拒不按要求更正的，将对乙方处以不低于5倍的罚款（按不合格部件价值计算），且乙方应承担由此发生的一切费用，延误的工期不予顺延。</w:t>
      </w:r>
    </w:p>
    <w:p>
      <w:pPr>
        <w:pStyle w:val="3"/>
        <w:spacing w:after="0" w:line="400" w:lineRule="atLeast"/>
        <w:ind w:firstLine="420" w:firstLineChars="200"/>
        <w:rPr>
          <w:rFonts w:ascii="宋体" w:hAnsi="宋体"/>
          <w:sz w:val="21"/>
          <w:szCs w:val="21"/>
        </w:rPr>
      </w:pPr>
      <w:r>
        <w:rPr>
          <w:rFonts w:hint="eastAsia" w:ascii="宋体" w:hAnsi="宋体"/>
          <w:snapToGrid w:val="0"/>
          <w:sz w:val="21"/>
          <w:szCs w:val="21"/>
        </w:rPr>
        <w:t xml:space="preserve">十一、解决纠纷的方式: </w:t>
      </w:r>
      <w:r>
        <w:rPr>
          <w:rFonts w:hint="eastAsia" w:ascii="宋体" w:hAnsi="宋体"/>
          <w:sz w:val="21"/>
          <w:szCs w:val="21"/>
        </w:rPr>
        <w:t>因履行本合同发生争议协商解决不成的提交</w:t>
      </w:r>
      <w:r>
        <w:rPr>
          <w:rFonts w:hint="eastAsia" w:ascii="宋体" w:hAnsi="宋体"/>
          <w:sz w:val="21"/>
          <w:szCs w:val="21"/>
          <w:u w:val="single"/>
        </w:rPr>
        <w:t xml:space="preserve">   常州市天宁区    </w:t>
      </w:r>
      <w:r>
        <w:rPr>
          <w:rFonts w:hint="eastAsia" w:ascii="宋体" w:hAnsi="宋体"/>
          <w:sz w:val="21"/>
          <w:szCs w:val="21"/>
        </w:rPr>
        <w:t>仲裁委员会仲裁。因本合同产生的以及与本合同有关的一切纠纷，均由常州市仲裁委员会仲裁。该裁决是终局的，对双方均具有约束力。</w:t>
      </w:r>
    </w:p>
    <w:p>
      <w:pPr>
        <w:pStyle w:val="4"/>
        <w:spacing w:line="380" w:lineRule="atLeast"/>
        <w:ind w:firstLine="420" w:firstLineChars="200"/>
        <w:rPr>
          <w:rFonts w:hAnsi="宋体"/>
          <w:snapToGrid w:val="0"/>
          <w:sz w:val="21"/>
          <w:szCs w:val="21"/>
        </w:rPr>
      </w:pPr>
      <w:r>
        <w:rPr>
          <w:rFonts w:hint="eastAsia" w:hAnsi="宋体"/>
          <w:snapToGrid w:val="0"/>
          <w:sz w:val="21"/>
          <w:szCs w:val="21"/>
        </w:rPr>
        <w:t>十二、与本合同不可分割的附件</w:t>
      </w:r>
    </w:p>
    <w:p>
      <w:pPr>
        <w:pStyle w:val="4"/>
        <w:spacing w:line="400" w:lineRule="atLeast"/>
        <w:ind w:firstLine="525" w:firstLineChars="250"/>
        <w:rPr>
          <w:rFonts w:hAnsi="宋体"/>
          <w:sz w:val="21"/>
          <w:szCs w:val="21"/>
        </w:rPr>
      </w:pPr>
      <w:r>
        <w:rPr>
          <w:rFonts w:hint="eastAsia" w:hAnsi="宋体"/>
          <w:sz w:val="21"/>
          <w:szCs w:val="21"/>
        </w:rPr>
        <w:t>1、产品技术要求。</w:t>
      </w:r>
    </w:p>
    <w:p>
      <w:pPr>
        <w:pStyle w:val="4"/>
        <w:spacing w:line="400" w:lineRule="atLeast"/>
        <w:ind w:firstLine="525" w:firstLineChars="250"/>
        <w:rPr>
          <w:rFonts w:hAnsi="宋体"/>
          <w:sz w:val="21"/>
          <w:szCs w:val="21"/>
        </w:rPr>
      </w:pPr>
      <w:r>
        <w:rPr>
          <w:rFonts w:hint="eastAsia" w:hAnsi="宋体"/>
          <w:sz w:val="21"/>
          <w:szCs w:val="21"/>
        </w:rPr>
        <w:t>2、谈判文件及相关的资料。</w:t>
      </w:r>
    </w:p>
    <w:p>
      <w:pPr>
        <w:pStyle w:val="4"/>
        <w:spacing w:line="400" w:lineRule="atLeast"/>
        <w:ind w:firstLine="525" w:firstLineChars="250"/>
        <w:rPr>
          <w:rFonts w:hAnsi="宋体"/>
          <w:sz w:val="21"/>
          <w:szCs w:val="21"/>
        </w:rPr>
      </w:pPr>
      <w:r>
        <w:rPr>
          <w:rFonts w:hint="eastAsia" w:hAnsi="宋体"/>
          <w:sz w:val="21"/>
          <w:szCs w:val="21"/>
        </w:rPr>
        <w:t>3、乙方提交的响应文件。</w:t>
      </w:r>
    </w:p>
    <w:p>
      <w:pPr>
        <w:pStyle w:val="4"/>
        <w:spacing w:line="400" w:lineRule="atLeast"/>
        <w:ind w:firstLine="525" w:firstLineChars="250"/>
        <w:rPr>
          <w:rFonts w:hAnsi="宋体"/>
          <w:sz w:val="21"/>
          <w:szCs w:val="21"/>
        </w:rPr>
      </w:pPr>
      <w:r>
        <w:rPr>
          <w:rFonts w:hint="eastAsia" w:hAnsi="宋体"/>
          <w:sz w:val="21"/>
          <w:szCs w:val="21"/>
        </w:rPr>
        <w:t>4、经甲、乙、双方确认的其他补充协议及相关资料。</w:t>
      </w:r>
    </w:p>
    <w:p>
      <w:pPr>
        <w:pStyle w:val="4"/>
        <w:spacing w:line="400" w:lineRule="atLeast"/>
        <w:ind w:firstLine="420" w:firstLineChars="200"/>
        <w:rPr>
          <w:rFonts w:hAnsi="宋体"/>
          <w:sz w:val="21"/>
          <w:szCs w:val="21"/>
        </w:rPr>
      </w:pPr>
      <w:r>
        <w:rPr>
          <w:rFonts w:hint="eastAsia" w:hAnsi="宋体"/>
          <w:snapToGrid w:val="0"/>
          <w:sz w:val="21"/>
          <w:szCs w:val="21"/>
        </w:rPr>
        <w:t>十三、生效：</w:t>
      </w:r>
      <w:r>
        <w:rPr>
          <w:rFonts w:hint="eastAsia" w:hAnsi="宋体"/>
          <w:sz w:val="21"/>
          <w:szCs w:val="21"/>
        </w:rPr>
        <w:t>本合同自双方签名盖章之日起成立,并依法生效。</w:t>
      </w:r>
    </w:p>
    <w:p>
      <w:pPr>
        <w:pStyle w:val="4"/>
        <w:spacing w:line="340" w:lineRule="exact"/>
        <w:ind w:left="-141" w:leftChars="-67" w:right="-477" w:rightChars="-227" w:firstLine="630" w:firstLineChars="300"/>
        <w:rPr>
          <w:rFonts w:hAnsi="宋体"/>
          <w:sz w:val="21"/>
          <w:szCs w:val="21"/>
        </w:rPr>
      </w:pPr>
      <w:r>
        <w:rPr>
          <w:rFonts w:hint="eastAsia" w:hAnsi="宋体"/>
          <w:snapToGrid w:val="0"/>
          <w:sz w:val="21"/>
          <w:szCs w:val="21"/>
        </w:rPr>
        <w:t>十四、合同份数：</w:t>
      </w:r>
      <w:r>
        <w:rPr>
          <w:rFonts w:hint="eastAsia" w:hAnsi="宋体"/>
          <w:sz w:val="21"/>
          <w:szCs w:val="21"/>
        </w:rPr>
        <w:t>本合同一式五份。甲方、乙方各执两份、集中采购机构执一份。</w:t>
      </w:r>
    </w:p>
    <w:p>
      <w:pPr>
        <w:pStyle w:val="3"/>
        <w:spacing w:line="280" w:lineRule="exact"/>
        <w:ind w:firstLine="840" w:firstLineChars="400"/>
        <w:rPr>
          <w:rFonts w:ascii="宋体" w:hAnsi="宋体"/>
          <w:sz w:val="21"/>
          <w:szCs w:val="21"/>
        </w:rPr>
      </w:pPr>
    </w:p>
    <w:p>
      <w:pPr>
        <w:pStyle w:val="3"/>
        <w:spacing w:line="280" w:lineRule="exact"/>
        <w:ind w:firstLine="840" w:firstLineChars="400"/>
        <w:rPr>
          <w:rFonts w:ascii="宋体" w:hAnsi="宋体"/>
          <w:sz w:val="21"/>
          <w:szCs w:val="21"/>
        </w:rPr>
      </w:pPr>
    </w:p>
    <w:p>
      <w:pPr>
        <w:pStyle w:val="3"/>
        <w:spacing w:line="280" w:lineRule="exact"/>
        <w:ind w:firstLine="840" w:firstLineChars="400"/>
        <w:rPr>
          <w:rFonts w:ascii="宋体" w:hAnsi="宋体"/>
          <w:sz w:val="21"/>
          <w:szCs w:val="21"/>
        </w:rPr>
      </w:pPr>
      <w:r>
        <w:rPr>
          <w:rFonts w:hint="eastAsia" w:ascii="宋体" w:hAnsi="宋体"/>
          <w:sz w:val="21"/>
          <w:szCs w:val="21"/>
        </w:rPr>
        <w:t>甲方(盖公章):                               乙方(盖公章):</w:t>
      </w:r>
    </w:p>
    <w:p>
      <w:pPr>
        <w:pStyle w:val="3"/>
        <w:spacing w:line="280" w:lineRule="exact"/>
        <w:ind w:firstLine="840" w:firstLineChars="400"/>
        <w:rPr>
          <w:rFonts w:ascii="宋体" w:hAnsi="宋体"/>
          <w:sz w:val="21"/>
          <w:szCs w:val="21"/>
        </w:rPr>
      </w:pPr>
    </w:p>
    <w:p>
      <w:pPr>
        <w:pStyle w:val="3"/>
        <w:spacing w:line="280" w:lineRule="exact"/>
        <w:ind w:firstLine="840" w:firstLineChars="400"/>
        <w:rPr>
          <w:rFonts w:ascii="宋体" w:hAnsi="宋体"/>
          <w:sz w:val="21"/>
          <w:szCs w:val="21"/>
        </w:rPr>
      </w:pPr>
      <w:r>
        <w:rPr>
          <w:rFonts w:hint="eastAsia" w:ascii="宋体" w:hAnsi="宋体"/>
          <w:sz w:val="21"/>
          <w:szCs w:val="21"/>
        </w:rPr>
        <w:t>法定代表人：                                法定代表人:</w:t>
      </w:r>
    </w:p>
    <w:p>
      <w:pPr>
        <w:pStyle w:val="3"/>
        <w:spacing w:line="280" w:lineRule="exact"/>
        <w:ind w:firstLine="840" w:firstLineChars="400"/>
        <w:rPr>
          <w:rFonts w:ascii="宋体" w:hAnsi="宋体"/>
          <w:sz w:val="21"/>
          <w:szCs w:val="21"/>
        </w:rPr>
      </w:pPr>
    </w:p>
    <w:p>
      <w:pPr>
        <w:pStyle w:val="3"/>
        <w:spacing w:line="280" w:lineRule="exact"/>
        <w:ind w:firstLine="840" w:firstLineChars="400"/>
        <w:rPr>
          <w:rFonts w:ascii="宋体" w:hAnsi="宋体"/>
          <w:sz w:val="21"/>
          <w:szCs w:val="21"/>
        </w:rPr>
      </w:pPr>
      <w:r>
        <w:rPr>
          <w:rFonts w:hint="eastAsia" w:ascii="宋体" w:hAnsi="宋体"/>
          <w:sz w:val="21"/>
          <w:szCs w:val="21"/>
        </w:rPr>
        <w:t>代理人:                                     代理人:</w:t>
      </w:r>
    </w:p>
    <w:p>
      <w:pPr>
        <w:pStyle w:val="3"/>
        <w:spacing w:line="280" w:lineRule="exact"/>
        <w:ind w:firstLine="840" w:firstLineChars="400"/>
        <w:rPr>
          <w:rFonts w:ascii="宋体" w:hAnsi="宋体"/>
          <w:sz w:val="21"/>
          <w:szCs w:val="21"/>
        </w:rPr>
      </w:pPr>
    </w:p>
    <w:p>
      <w:pPr>
        <w:pStyle w:val="3"/>
        <w:spacing w:line="280" w:lineRule="exact"/>
        <w:ind w:left="481" w:leftChars="229" w:firstLine="420" w:firstLineChars="200"/>
        <w:rPr>
          <w:rFonts w:ascii="宋体" w:hAnsi="宋体"/>
          <w:sz w:val="21"/>
          <w:szCs w:val="21"/>
        </w:rPr>
      </w:pPr>
      <w:r>
        <w:rPr>
          <w:rFonts w:hint="eastAsia" w:ascii="宋体" w:hAnsi="宋体"/>
          <w:sz w:val="21"/>
          <w:szCs w:val="21"/>
        </w:rPr>
        <w:t>经办人:                                     电话:</w:t>
      </w:r>
    </w:p>
    <w:p>
      <w:pPr>
        <w:pStyle w:val="3"/>
        <w:spacing w:line="280" w:lineRule="exact"/>
        <w:ind w:left="481" w:leftChars="229" w:firstLine="420" w:firstLineChars="200"/>
        <w:rPr>
          <w:rFonts w:ascii="宋体" w:hAnsi="宋体"/>
          <w:sz w:val="21"/>
          <w:szCs w:val="21"/>
        </w:rPr>
      </w:pPr>
    </w:p>
    <w:p>
      <w:pPr>
        <w:pStyle w:val="3"/>
        <w:spacing w:line="280" w:lineRule="exact"/>
        <w:ind w:left="6510" w:leftChars="400" w:hanging="5670" w:hangingChars="2700"/>
        <w:rPr>
          <w:rFonts w:ascii="宋体" w:hAnsi="宋体"/>
          <w:sz w:val="21"/>
          <w:szCs w:val="21"/>
        </w:rPr>
      </w:pPr>
      <w:r>
        <w:rPr>
          <w:rFonts w:hint="eastAsia" w:ascii="宋体" w:hAnsi="宋体"/>
          <w:sz w:val="21"/>
          <w:szCs w:val="21"/>
        </w:rPr>
        <w:t>电话:                                       开户银行：</w:t>
      </w:r>
      <w:r>
        <w:rPr>
          <w:rFonts w:hint="eastAsia" w:ascii="宋体" w:hAnsi="宋体"/>
          <w:sz w:val="21"/>
          <w:szCs w:val="21"/>
          <w:lang w:val="en-US" w:eastAsia="zh-CN"/>
        </w:rPr>
        <w:t>中国工商银行股份有限公司无锡惠山支行</w:t>
      </w:r>
    </w:p>
    <w:p>
      <w:pPr>
        <w:pStyle w:val="3"/>
        <w:spacing w:line="280" w:lineRule="exact"/>
        <w:ind w:firstLine="840" w:firstLineChars="400"/>
        <w:rPr>
          <w:rFonts w:hint="eastAsia" w:ascii="宋体" w:hAnsi="宋体"/>
          <w:sz w:val="21"/>
          <w:szCs w:val="21"/>
        </w:rPr>
      </w:pPr>
      <w:r>
        <w:rPr>
          <w:rFonts w:hint="eastAsia" w:ascii="宋体" w:hAnsi="宋体"/>
          <w:sz w:val="21"/>
          <w:szCs w:val="21"/>
        </w:rPr>
        <w:t xml:space="preserve">                                           银行帐号：</w:t>
      </w:r>
      <w:r>
        <w:rPr>
          <w:rFonts w:hint="eastAsia" w:ascii="宋体" w:hAnsi="宋体"/>
          <w:sz w:val="21"/>
          <w:szCs w:val="21"/>
          <w:lang w:val="en-US" w:eastAsia="zh-CN"/>
        </w:rPr>
        <w:t>1103026609000181694</w:t>
      </w:r>
    </w:p>
    <w:p>
      <w:pPr>
        <w:pStyle w:val="3"/>
        <w:spacing w:line="280" w:lineRule="exact"/>
        <w:ind w:firstLine="840" w:firstLineChars="400"/>
        <w:rPr>
          <w:rFonts w:ascii="宋体" w:hAnsi="宋体"/>
          <w:sz w:val="21"/>
          <w:szCs w:val="21"/>
        </w:rPr>
      </w:pPr>
    </w:p>
    <w:p>
      <w:pPr>
        <w:pStyle w:val="3"/>
        <w:spacing w:line="280" w:lineRule="exact"/>
        <w:ind w:firstLine="840" w:firstLineChars="400"/>
        <w:rPr>
          <w:rFonts w:ascii="宋体" w:hAnsi="宋体"/>
          <w:sz w:val="21"/>
          <w:szCs w:val="21"/>
        </w:rPr>
      </w:pPr>
    </w:p>
    <w:p>
      <w:pPr>
        <w:pStyle w:val="3"/>
        <w:spacing w:line="280" w:lineRule="exact"/>
        <w:ind w:firstLine="840" w:firstLineChars="400"/>
        <w:rPr>
          <w:rFonts w:ascii="宋体" w:hAnsi="宋体"/>
          <w:sz w:val="21"/>
          <w:szCs w:val="21"/>
        </w:rPr>
      </w:pPr>
      <w:r>
        <w:rPr>
          <w:rFonts w:hint="eastAsia" w:ascii="宋体" w:hAnsi="宋体"/>
          <w:sz w:val="21"/>
          <w:szCs w:val="21"/>
        </w:rPr>
        <w:t>集中采购机构(盖章):</w:t>
      </w:r>
      <w:r>
        <w:rPr>
          <w:rFonts w:hint="eastAsia" w:ascii="宋体" w:hAnsi="宋体"/>
          <w:sz w:val="21"/>
          <w:szCs w:val="21"/>
          <w:u w:val="single"/>
        </w:rPr>
        <w:t>常州市政府采购中心</w:t>
      </w:r>
    </w:p>
    <w:p>
      <w:pPr>
        <w:pStyle w:val="3"/>
        <w:spacing w:line="280" w:lineRule="exact"/>
        <w:ind w:firstLine="840" w:firstLineChars="400"/>
        <w:rPr>
          <w:rFonts w:ascii="宋体" w:hAnsi="宋体"/>
          <w:sz w:val="21"/>
          <w:szCs w:val="21"/>
        </w:rPr>
      </w:pPr>
    </w:p>
    <w:p>
      <w:pPr>
        <w:pStyle w:val="3"/>
        <w:spacing w:line="280" w:lineRule="exact"/>
        <w:ind w:firstLine="840" w:firstLineChars="400"/>
        <w:rPr>
          <w:rFonts w:ascii="宋体" w:hAnsi="宋体"/>
          <w:sz w:val="21"/>
          <w:szCs w:val="21"/>
        </w:rPr>
      </w:pPr>
      <w:r>
        <w:rPr>
          <w:rFonts w:hint="eastAsia" w:ascii="宋体" w:hAnsi="宋体"/>
          <w:sz w:val="21"/>
          <w:szCs w:val="21"/>
        </w:rPr>
        <w:t>法定代表人:</w:t>
      </w: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046105"/>
    <w:rsid w:val="17FF47F4"/>
    <w:rsid w:val="36471E97"/>
    <w:rsid w:val="54046105"/>
    <w:rsid w:val="795E4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customStyle="1" w:styleId="2">
    <w:name w:val="_Style 1"/>
    <w:basedOn w:val="1"/>
    <w:qFormat/>
    <w:uiPriority w:val="0"/>
    <w:pPr>
      <w:ind w:firstLine="420" w:firstLineChars="200"/>
    </w:pPr>
    <w:rPr>
      <w:kern w:val="0"/>
      <w:sz w:val="20"/>
    </w:rPr>
  </w:style>
  <w:style w:type="paragraph" w:styleId="3">
    <w:name w:val="Body Text"/>
    <w:basedOn w:val="1"/>
    <w:qFormat/>
    <w:uiPriority w:val="0"/>
    <w:pPr>
      <w:spacing w:after="120"/>
    </w:pPr>
    <w:rPr>
      <w:kern w:val="0"/>
      <w:sz w:val="20"/>
      <w:lang w:val="zh-CN"/>
    </w:rPr>
  </w:style>
  <w:style w:type="paragraph" w:styleId="4">
    <w:name w:val="Plain Text"/>
    <w:basedOn w:val="1"/>
    <w:qFormat/>
    <w:uiPriority w:val="99"/>
    <w:rPr>
      <w:rFonts w:ascii="宋体" w:hAnsi="Courier New"/>
      <w:kern w:val="0"/>
      <w:sz w:val="20"/>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2019-11-13T05:32:00Z</dcterms:created>
  <dc:creator>Administrator</dc:creator>
  <cp:lastModifiedBy>恽志寅</cp:lastModifiedBy>
  <dcterms:modified xsi:type="dcterms:W3CDTF">2019-11-15T08:23:08Z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