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D1" w:rsidRPr="00FB3FD1" w:rsidRDefault="00FB3FD1" w:rsidP="00FB3FD1">
      <w:pPr>
        <w:pStyle w:val="a9"/>
        <w:numPr>
          <w:ilvl w:val="0"/>
          <w:numId w:val="4"/>
        </w:numPr>
        <w:tabs>
          <w:tab w:val="clear" w:pos="567"/>
        </w:tabs>
        <w:spacing w:before="0" w:after="120" w:line="360" w:lineRule="auto"/>
        <w:ind w:firstLineChars="200" w:firstLine="422"/>
        <w:rPr>
          <w:b/>
          <w:sz w:val="21"/>
          <w:szCs w:val="21"/>
        </w:rPr>
      </w:pPr>
      <w:r w:rsidRPr="00FB3FD1">
        <w:rPr>
          <w:rFonts w:hint="eastAsia"/>
          <w:b/>
          <w:sz w:val="21"/>
          <w:szCs w:val="21"/>
        </w:rPr>
        <w:t>项目名称：常州工程职业技术学院迁移云盘应用及云盘</w:t>
      </w:r>
      <w:r w:rsidRPr="00FB3FD1">
        <w:rPr>
          <w:b/>
          <w:sz w:val="21"/>
          <w:szCs w:val="21"/>
        </w:rPr>
        <w:t>扩容</w:t>
      </w:r>
    </w:p>
    <w:p w:rsidR="00FB3FD1" w:rsidRPr="00FB3FD1" w:rsidRDefault="00FB3FD1" w:rsidP="00FB3FD1">
      <w:pPr>
        <w:snapToGrid w:val="0"/>
        <w:spacing w:line="360" w:lineRule="auto"/>
        <w:ind w:firstLineChars="200" w:firstLine="430"/>
        <w:rPr>
          <w:rFonts w:ascii="宋体" w:hAnsi="宋体" w:cs="黑体-简"/>
          <w:b/>
          <w:spacing w:val="2"/>
          <w:szCs w:val="21"/>
        </w:rPr>
      </w:pPr>
      <w:r w:rsidRPr="00FB3FD1">
        <w:rPr>
          <w:rFonts w:ascii="宋体" w:hAnsi="宋体" w:cs="黑体-简" w:hint="eastAsia"/>
          <w:b/>
          <w:spacing w:val="2"/>
          <w:szCs w:val="21"/>
        </w:rPr>
        <w:t>项目简要说明：</w:t>
      </w:r>
    </w:p>
    <w:p w:rsidR="00FB3FD1" w:rsidRPr="00FB3FD1" w:rsidRDefault="00FB3FD1" w:rsidP="00FB3FD1">
      <w:pPr>
        <w:snapToGrid w:val="0"/>
        <w:spacing w:before="120" w:after="120" w:line="360" w:lineRule="auto"/>
        <w:ind w:firstLineChars="200" w:firstLine="420"/>
        <w:rPr>
          <w:rFonts w:ascii="宋体" w:hAnsi="宋体" w:cs="黑体-简"/>
          <w:color w:val="FF0000"/>
          <w:szCs w:val="21"/>
        </w:rPr>
      </w:pPr>
      <w:r w:rsidRPr="00FB3FD1">
        <w:rPr>
          <w:rFonts w:ascii="宋体" w:hAnsi="宋体" w:cs="黑体-简" w:hint="eastAsia"/>
          <w:color w:val="FF0000"/>
          <w:szCs w:val="21"/>
        </w:rPr>
        <w:t>项目背景：</w:t>
      </w:r>
    </w:p>
    <w:p w:rsidR="00FB3FD1" w:rsidRPr="00FB3FD1" w:rsidRDefault="00FB3FD1" w:rsidP="00FB3FD1">
      <w:pPr>
        <w:snapToGrid w:val="0"/>
        <w:spacing w:before="120" w:after="120" w:line="360" w:lineRule="auto"/>
        <w:ind w:firstLine="480"/>
        <w:rPr>
          <w:rFonts w:ascii="宋体" w:hAnsi="宋体" w:cs="黑体-简"/>
          <w:color w:val="FF0000"/>
          <w:szCs w:val="21"/>
        </w:rPr>
      </w:pPr>
      <w:r w:rsidRPr="00FB3FD1">
        <w:rPr>
          <w:rFonts w:ascii="宋体" w:hAnsi="宋体" w:cs="黑体-简" w:hint="eastAsia"/>
          <w:color w:val="FF0000"/>
          <w:szCs w:val="21"/>
        </w:rPr>
        <w:t>为了便于教师使用云盘进行教学数据的存储和分发共享，同时也方便云盘数据、图书馆电子数据、视频数据和学院办公数据的存储和处理，常州工程职业技术学院建立了一套云盘系统和云存储系统，提供统一的存储资源池服务。2017年，为了配合学校视频监控平台的建设和应用，对云存储资源池进行了二期扩容，并实现云存储系统与视频平台的深度整合对接，保证了一期和二期云存储系统相互兼容以及数据的自动均衡。当前，云存储资源池同时为学校教学办公、云盘系统、视频监控以及电子阅览室等多个应用提供按需分配、灵活扩展的数据存储服务，而且云盘系统、视频监控平台以及数据库集群都与云存储服务器复用部署，并实现了云盘系统与学校组织架构、统一身份认证以及负载均衡等系统的集成对接。现在，为了提升云盘服务并发处理能力，并避免云盘和视频监控服务相互影响，需要把云盘系统迁移出去独立部署，同时，在满足迁移最低配置需求的前提下，为了尽可能节省迁移成本，需要把新的迁移服务器中的一台复用作为数据存储节点，这样不仅可以满足云盘迁移目标，还可以同时增加云存储空间，进而达到在预算有限的情况下实现资源最大化利用的效果。云盘服务迁移之后，依然需要与学校的人事管理组织架构实现数据同步对接、与学校统一身份认证系统实现集成整合、以及与负载均衡服务完成联调，同时实现云盘数据库数据和文件存储数据的同步迁移，保证迁移后的云盘应用集成方式以及存储的数据与迁移前完全一致，进而实现用户无感知的迁移效果。经过多年使用，目前系统存在以下问题。</w:t>
      </w:r>
    </w:p>
    <w:p w:rsidR="00FB3FD1" w:rsidRPr="00FB3FD1" w:rsidRDefault="00FB3FD1" w:rsidP="00FB3FD1">
      <w:pPr>
        <w:snapToGrid w:val="0"/>
        <w:spacing w:before="120" w:after="120" w:line="360" w:lineRule="auto"/>
        <w:ind w:firstLine="482"/>
        <w:rPr>
          <w:rFonts w:ascii="宋体" w:hAnsi="宋体" w:cs="黑体-简"/>
          <w:szCs w:val="21"/>
        </w:rPr>
      </w:pPr>
      <w:r w:rsidRPr="00FB3FD1">
        <w:rPr>
          <w:rFonts w:ascii="宋体" w:hAnsi="宋体" w:cs="黑体-简" w:hint="eastAsia"/>
          <w:szCs w:val="21"/>
        </w:rPr>
        <w:t>1.</w:t>
      </w:r>
      <w:r w:rsidRPr="00FB3FD1">
        <w:rPr>
          <w:rFonts w:ascii="宋体" w:hAnsi="宋体" w:cs="黑体-简" w:hint="eastAsia"/>
          <w:szCs w:val="21"/>
        </w:rPr>
        <w:tab/>
        <w:t>用户并发访问量过多时，云盘和监控服务复用导致服务器资源不足，响应缓慢，云存储整体空间也不足；</w:t>
      </w:r>
    </w:p>
    <w:p w:rsidR="00FB3FD1" w:rsidRPr="00FB3FD1" w:rsidRDefault="00FB3FD1" w:rsidP="00FB3FD1">
      <w:pPr>
        <w:snapToGrid w:val="0"/>
        <w:spacing w:before="120" w:after="120" w:line="360" w:lineRule="auto"/>
        <w:ind w:firstLine="482"/>
        <w:rPr>
          <w:rFonts w:ascii="宋体" w:hAnsi="宋体" w:cs="黑体-简"/>
          <w:szCs w:val="21"/>
        </w:rPr>
      </w:pPr>
      <w:r w:rsidRPr="00FB3FD1">
        <w:rPr>
          <w:rFonts w:ascii="宋体" w:hAnsi="宋体" w:cs="黑体-简" w:hint="eastAsia"/>
          <w:szCs w:val="21"/>
        </w:rPr>
        <w:t>2.</w:t>
      </w:r>
      <w:r w:rsidRPr="00FB3FD1">
        <w:rPr>
          <w:rFonts w:ascii="宋体" w:hAnsi="宋体" w:cs="黑体-简" w:hint="eastAsia"/>
          <w:szCs w:val="21"/>
        </w:rPr>
        <w:tab/>
        <w:t>云盘服务和视频监控服务混合部署，一个服务故障可能影响另一个服务，不便于监控管理；</w:t>
      </w:r>
    </w:p>
    <w:p w:rsidR="00FB3FD1" w:rsidRPr="00FB3FD1" w:rsidRDefault="00FB3FD1" w:rsidP="00FB3FD1">
      <w:pPr>
        <w:snapToGrid w:val="0"/>
        <w:spacing w:before="120" w:after="120" w:line="360" w:lineRule="auto"/>
        <w:ind w:firstLine="482"/>
        <w:rPr>
          <w:rFonts w:ascii="宋体" w:hAnsi="宋体" w:cs="黑体-简"/>
          <w:szCs w:val="21"/>
        </w:rPr>
      </w:pPr>
      <w:r w:rsidRPr="00FB3FD1">
        <w:rPr>
          <w:rFonts w:ascii="宋体" w:hAnsi="宋体" w:cs="黑体-简" w:hint="eastAsia"/>
          <w:szCs w:val="21"/>
        </w:rPr>
        <w:t>3.</w:t>
      </w:r>
      <w:r w:rsidRPr="00FB3FD1">
        <w:rPr>
          <w:rFonts w:ascii="宋体" w:hAnsi="宋体" w:cs="黑体-简" w:hint="eastAsia"/>
          <w:szCs w:val="21"/>
        </w:rPr>
        <w:tab/>
        <w:t>云盘数据库和云存储数据库复用，并发数比较大时，数据库负载会显著升高，而且混用导致维护不便。</w:t>
      </w:r>
    </w:p>
    <w:p w:rsidR="00FB3FD1" w:rsidRPr="00FB3FD1" w:rsidRDefault="00FB3FD1" w:rsidP="00FB3FD1">
      <w:pPr>
        <w:snapToGrid w:val="0"/>
        <w:spacing w:before="163" w:after="163"/>
        <w:ind w:firstLine="480"/>
        <w:rPr>
          <w:rFonts w:ascii="宋体" w:hAnsi="宋体" w:cs="黑体-简"/>
          <w:szCs w:val="21"/>
        </w:rPr>
      </w:pPr>
      <w:r w:rsidRPr="00FB3FD1">
        <w:rPr>
          <w:rFonts w:ascii="宋体" w:hAnsi="宋体" w:cs="黑体-简" w:hint="eastAsia"/>
          <w:szCs w:val="21"/>
        </w:rPr>
        <w:t>因此，本次项目拟采用云存储扩容方式，针对以上待解决的问题，采购相关设备系统，提供优化配置部署。</w:t>
      </w:r>
    </w:p>
    <w:p w:rsidR="00FB3FD1" w:rsidRPr="00FB3FD1" w:rsidRDefault="00FB3FD1" w:rsidP="00FB3FD1">
      <w:pPr>
        <w:snapToGrid w:val="0"/>
        <w:spacing w:before="163" w:after="163"/>
        <w:rPr>
          <w:rFonts w:ascii="宋体" w:hAnsi="宋体" w:cs="黑体-简"/>
          <w:szCs w:val="21"/>
        </w:rPr>
      </w:pPr>
      <w:r>
        <w:rPr>
          <w:rFonts w:ascii="宋体" w:hAnsi="宋体" w:cs="黑体-简" w:hint="eastAsia"/>
          <w:b/>
          <w:bCs/>
          <w:szCs w:val="21"/>
        </w:rPr>
        <w:t>二</w:t>
      </w:r>
      <w:r w:rsidRPr="00FB3FD1">
        <w:rPr>
          <w:rFonts w:ascii="宋体" w:hAnsi="宋体" w:cs="黑体-简" w:hint="eastAsia"/>
          <w:szCs w:val="21"/>
        </w:rPr>
        <w:t>、</w:t>
      </w:r>
      <w:r w:rsidRPr="00FB3FD1">
        <w:rPr>
          <w:rFonts w:ascii="宋体" w:hAnsi="宋体" w:cs="黑体-简" w:hint="eastAsia"/>
          <w:b/>
          <w:szCs w:val="21"/>
        </w:rPr>
        <w:t xml:space="preserve">采购清单及要求  </w:t>
      </w:r>
      <w:r w:rsidRPr="00FB3FD1">
        <w:rPr>
          <w:rFonts w:ascii="宋体" w:hAnsi="宋体" w:cs="黑体-简" w:hint="eastAsia"/>
          <w:bCs/>
          <w:szCs w:val="21"/>
        </w:rPr>
        <w:t>（ 技术参数需全部满足招标要求）</w:t>
      </w:r>
      <w:r w:rsidRPr="00FB3FD1">
        <w:rPr>
          <w:rFonts w:ascii="宋体" w:hAnsi="宋体" w:cs="黑体-简" w:hint="eastAsia"/>
          <w:szCs w:val="21"/>
        </w:rPr>
        <w:t xml:space="preserve">    </w:t>
      </w:r>
    </w:p>
    <w:tbl>
      <w:tblPr>
        <w:tblW w:w="5000" w:type="pct"/>
        <w:tblLook w:val="04A0"/>
      </w:tblPr>
      <w:tblGrid>
        <w:gridCol w:w="924"/>
        <w:gridCol w:w="2261"/>
        <w:gridCol w:w="5451"/>
        <w:gridCol w:w="1218"/>
      </w:tblGrid>
      <w:tr w:rsidR="00FB3FD1" w:rsidRPr="00FB3FD1" w:rsidTr="000F5DCD">
        <w:trPr>
          <w:trHeight w:val="330"/>
        </w:trPr>
        <w:tc>
          <w:tcPr>
            <w:tcW w:w="469" w:type="pct"/>
            <w:tcBorders>
              <w:top w:val="single" w:sz="4" w:space="0" w:color="000000"/>
              <w:left w:val="single" w:sz="4" w:space="0" w:color="000000"/>
              <w:bottom w:val="single" w:sz="4" w:space="0" w:color="000000"/>
              <w:right w:val="single" w:sz="4" w:space="0" w:color="000000"/>
            </w:tcBorders>
            <w:shd w:val="clear" w:color="000000" w:fill="0066CC"/>
            <w:vAlign w:val="center"/>
          </w:tcPr>
          <w:p w:rsidR="00FB3FD1" w:rsidRPr="00FB3FD1" w:rsidRDefault="00FB3FD1" w:rsidP="000F5DCD">
            <w:pPr>
              <w:widowControl/>
              <w:snapToGrid w:val="0"/>
              <w:spacing w:line="0" w:lineRule="atLeast"/>
              <w:jc w:val="center"/>
              <w:rPr>
                <w:rFonts w:ascii="宋体" w:hAnsi="宋体" w:cs="黑体-简"/>
                <w:b/>
                <w:bCs/>
                <w:color w:val="FFFFFF"/>
                <w:kern w:val="0"/>
                <w:szCs w:val="21"/>
              </w:rPr>
            </w:pPr>
            <w:r w:rsidRPr="00FB3FD1">
              <w:rPr>
                <w:rFonts w:ascii="宋体" w:hAnsi="宋体" w:cs="黑体-简" w:hint="eastAsia"/>
                <w:b/>
                <w:bCs/>
                <w:color w:val="FFFFFF"/>
                <w:kern w:val="0"/>
                <w:szCs w:val="21"/>
              </w:rPr>
              <w:t>序号</w:t>
            </w:r>
          </w:p>
        </w:tc>
        <w:tc>
          <w:tcPr>
            <w:tcW w:w="1147" w:type="pct"/>
            <w:tcBorders>
              <w:top w:val="single" w:sz="4" w:space="0" w:color="000000"/>
              <w:left w:val="single" w:sz="4" w:space="0" w:color="000000"/>
              <w:bottom w:val="single" w:sz="4" w:space="0" w:color="000000"/>
              <w:right w:val="single" w:sz="4" w:space="0" w:color="000000"/>
            </w:tcBorders>
            <w:shd w:val="clear" w:color="000000" w:fill="0066CC"/>
            <w:vAlign w:val="center"/>
          </w:tcPr>
          <w:p w:rsidR="00FB3FD1" w:rsidRPr="00FB3FD1" w:rsidRDefault="00FB3FD1" w:rsidP="000F5DCD">
            <w:pPr>
              <w:widowControl/>
              <w:snapToGrid w:val="0"/>
              <w:spacing w:line="0" w:lineRule="atLeast"/>
              <w:jc w:val="center"/>
              <w:rPr>
                <w:rFonts w:ascii="宋体" w:hAnsi="宋体" w:cs="黑体-简"/>
                <w:b/>
                <w:bCs/>
                <w:color w:val="FFFFFF"/>
                <w:kern w:val="0"/>
                <w:szCs w:val="21"/>
              </w:rPr>
            </w:pPr>
            <w:r w:rsidRPr="00FB3FD1">
              <w:rPr>
                <w:rFonts w:ascii="宋体" w:hAnsi="宋体" w:cs="黑体-简" w:hint="eastAsia"/>
                <w:b/>
                <w:bCs/>
                <w:color w:val="FFFFFF"/>
                <w:kern w:val="0"/>
                <w:szCs w:val="21"/>
              </w:rPr>
              <w:t>招标产品类型</w:t>
            </w:r>
          </w:p>
        </w:tc>
        <w:tc>
          <w:tcPr>
            <w:tcW w:w="2766" w:type="pct"/>
            <w:tcBorders>
              <w:top w:val="single" w:sz="4" w:space="0" w:color="000000"/>
              <w:left w:val="nil"/>
              <w:bottom w:val="single" w:sz="4" w:space="0" w:color="000000"/>
              <w:right w:val="single" w:sz="4" w:space="0" w:color="000000"/>
            </w:tcBorders>
            <w:shd w:val="clear" w:color="000000" w:fill="0066CC"/>
            <w:vAlign w:val="center"/>
          </w:tcPr>
          <w:p w:rsidR="00FB3FD1" w:rsidRPr="00FB3FD1" w:rsidRDefault="00FB3FD1" w:rsidP="000F5DCD">
            <w:pPr>
              <w:widowControl/>
              <w:snapToGrid w:val="0"/>
              <w:spacing w:line="0" w:lineRule="atLeast"/>
              <w:jc w:val="center"/>
              <w:rPr>
                <w:rFonts w:ascii="宋体" w:hAnsi="宋体" w:cs="黑体-简"/>
                <w:b/>
                <w:bCs/>
                <w:color w:val="FFFFFF"/>
                <w:kern w:val="0"/>
                <w:szCs w:val="21"/>
              </w:rPr>
            </w:pPr>
            <w:r w:rsidRPr="00FB3FD1">
              <w:rPr>
                <w:rFonts w:ascii="宋体" w:hAnsi="宋体" w:cs="黑体-简" w:hint="eastAsia"/>
                <w:b/>
                <w:bCs/>
                <w:color w:val="FFFFFF"/>
                <w:kern w:val="0"/>
                <w:szCs w:val="21"/>
              </w:rPr>
              <w:t>技术参数要求</w:t>
            </w:r>
          </w:p>
        </w:tc>
        <w:tc>
          <w:tcPr>
            <w:tcW w:w="618" w:type="pct"/>
            <w:tcBorders>
              <w:top w:val="single" w:sz="4" w:space="0" w:color="000000"/>
              <w:left w:val="nil"/>
              <w:bottom w:val="single" w:sz="4" w:space="0" w:color="000000"/>
              <w:right w:val="single" w:sz="4" w:space="0" w:color="000000"/>
            </w:tcBorders>
            <w:shd w:val="clear" w:color="000000" w:fill="0066CC"/>
            <w:vAlign w:val="center"/>
          </w:tcPr>
          <w:p w:rsidR="00FB3FD1" w:rsidRPr="00FB3FD1" w:rsidRDefault="00FB3FD1" w:rsidP="000F5DCD">
            <w:pPr>
              <w:widowControl/>
              <w:snapToGrid w:val="0"/>
              <w:spacing w:line="0" w:lineRule="atLeast"/>
              <w:jc w:val="center"/>
              <w:rPr>
                <w:rFonts w:ascii="宋体" w:hAnsi="宋体" w:cs="黑体-简"/>
                <w:b/>
                <w:bCs/>
                <w:color w:val="FFFFFF"/>
                <w:kern w:val="0"/>
                <w:szCs w:val="21"/>
              </w:rPr>
            </w:pPr>
            <w:r w:rsidRPr="00FB3FD1">
              <w:rPr>
                <w:rFonts w:ascii="宋体" w:hAnsi="宋体" w:cs="黑体-简" w:hint="eastAsia"/>
                <w:b/>
                <w:bCs/>
                <w:color w:val="FFFFFF"/>
                <w:kern w:val="0"/>
                <w:szCs w:val="21"/>
              </w:rPr>
              <w:t>数量</w:t>
            </w:r>
          </w:p>
        </w:tc>
      </w:tr>
      <w:tr w:rsidR="00FB3FD1" w:rsidRPr="00FB3FD1" w:rsidTr="000F5DCD">
        <w:trPr>
          <w:trHeight w:val="2310"/>
        </w:trPr>
        <w:tc>
          <w:tcPr>
            <w:tcW w:w="469" w:type="pct"/>
            <w:tcBorders>
              <w:top w:val="nil"/>
              <w:left w:val="single" w:sz="4" w:space="0" w:color="000000"/>
              <w:bottom w:val="single" w:sz="4" w:space="0" w:color="000000"/>
              <w:right w:val="single" w:sz="4" w:space="0" w:color="000000"/>
            </w:tcBorders>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1</w:t>
            </w:r>
          </w:p>
        </w:tc>
        <w:tc>
          <w:tcPr>
            <w:tcW w:w="1147"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云盘应用与数据库</w:t>
            </w:r>
          </w:p>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节点服务器</w:t>
            </w:r>
          </w:p>
        </w:tc>
        <w:tc>
          <w:tcPr>
            <w:tcW w:w="2766"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要求能够提供云存储系统元数据的管理和维护，能够对外提供统一命名空间；支持同时提供对存储资源分配、负载均衡调度，以及用户认证、存储集群监控管理等。支持数据快照、精简配置、用户配额管理等功能。</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标准机架式服务器，要求采用≥2颗Intel Xeon Silver 4110级别或更高CPU配置，≥256GB缓存，≥4*1Gb数据接口，≥2*480G SSD系统盘，≥8*3.5'' SATA/SAS热拔插盘位，配置热拔插（1+1）冗余电源，提供1*机架角轨套件。</w:t>
            </w:r>
          </w:p>
        </w:tc>
        <w:tc>
          <w:tcPr>
            <w:tcW w:w="618"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2台</w:t>
            </w:r>
          </w:p>
        </w:tc>
      </w:tr>
      <w:tr w:rsidR="00FB3FD1" w:rsidRPr="00FB3FD1" w:rsidTr="000F5DCD">
        <w:trPr>
          <w:trHeight w:val="2310"/>
        </w:trPr>
        <w:tc>
          <w:tcPr>
            <w:tcW w:w="469" w:type="pct"/>
            <w:tcBorders>
              <w:top w:val="nil"/>
              <w:left w:val="single" w:sz="4" w:space="0" w:color="000000"/>
              <w:bottom w:val="single" w:sz="4" w:space="0" w:color="000000"/>
              <w:right w:val="single" w:sz="4" w:space="0" w:color="000000"/>
            </w:tcBorders>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lastRenderedPageBreak/>
              <w:t>2</w:t>
            </w:r>
          </w:p>
        </w:tc>
        <w:tc>
          <w:tcPr>
            <w:tcW w:w="1147"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云存储节点与数据库</w:t>
            </w:r>
          </w:p>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节点服务器</w:t>
            </w:r>
          </w:p>
        </w:tc>
        <w:tc>
          <w:tcPr>
            <w:tcW w:w="2766"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要求能够提供用户数据的存储和管理，能够支持数据块跨节点间的容错和恢复，支持高效对外响应用户的读写访问请求，要求云存储系统的性能能随节点数量增加线性增长。</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标准机架式服务器，要求采用≥2颗Intel Xeon Silver 4210级别或更高CPU配置，≥128GB缓存，≥4*1Gb数据接口，≥2*480G SSD系统盘，≥16* 3.5'' 6TB SATA/SAS硬盘，配置热拔插（1+1）冗余电源，提供1*机架角轨套件。</w:t>
            </w:r>
          </w:p>
        </w:tc>
        <w:tc>
          <w:tcPr>
            <w:tcW w:w="618"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1</w:t>
            </w:r>
          </w:p>
        </w:tc>
      </w:tr>
      <w:tr w:rsidR="00FB3FD1" w:rsidRPr="00FB3FD1" w:rsidTr="000F5DCD">
        <w:trPr>
          <w:trHeight w:val="540"/>
        </w:trPr>
        <w:tc>
          <w:tcPr>
            <w:tcW w:w="469" w:type="pct"/>
            <w:tcBorders>
              <w:top w:val="nil"/>
              <w:left w:val="single" w:sz="4" w:space="0" w:color="000000"/>
              <w:bottom w:val="single" w:sz="4" w:space="0" w:color="000000"/>
              <w:right w:val="single" w:sz="4" w:space="0" w:color="000000"/>
            </w:tcBorders>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3</w:t>
            </w:r>
          </w:p>
        </w:tc>
        <w:tc>
          <w:tcPr>
            <w:tcW w:w="1147"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容量管理许可</w:t>
            </w:r>
          </w:p>
        </w:tc>
        <w:tc>
          <w:tcPr>
            <w:tcW w:w="2766"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每TB容量管理许可（云存储license许可）</w:t>
            </w:r>
          </w:p>
        </w:tc>
        <w:tc>
          <w:tcPr>
            <w:tcW w:w="618"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96TB</w:t>
            </w:r>
          </w:p>
        </w:tc>
      </w:tr>
      <w:tr w:rsidR="00FB3FD1" w:rsidRPr="00FB3FD1" w:rsidTr="000F5DCD">
        <w:trPr>
          <w:trHeight w:val="540"/>
        </w:trPr>
        <w:tc>
          <w:tcPr>
            <w:tcW w:w="469" w:type="pct"/>
            <w:tcBorders>
              <w:top w:val="nil"/>
              <w:left w:val="single" w:sz="4" w:space="0" w:color="000000"/>
              <w:bottom w:val="single" w:sz="4" w:space="0" w:color="000000"/>
              <w:right w:val="single" w:sz="4" w:space="0" w:color="000000"/>
            </w:tcBorders>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4</w:t>
            </w:r>
          </w:p>
        </w:tc>
        <w:tc>
          <w:tcPr>
            <w:tcW w:w="1147"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云存储软件</w:t>
            </w:r>
          </w:p>
        </w:tc>
        <w:tc>
          <w:tcPr>
            <w:tcW w:w="2766"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FB3FD1">
            <w:pPr>
              <w:widowControl/>
              <w:snapToGrid w:val="0"/>
              <w:spacing w:line="0" w:lineRule="atLeast"/>
              <w:ind w:firstLineChars="100" w:firstLine="210"/>
              <w:jc w:val="left"/>
              <w:rPr>
                <w:rFonts w:ascii="宋体" w:hAnsi="宋体" w:cs="黑体-简"/>
                <w:kern w:val="0"/>
                <w:szCs w:val="21"/>
                <w:highlight w:val="yellow"/>
              </w:rPr>
            </w:pPr>
            <w:r w:rsidRPr="00FB3FD1">
              <w:rPr>
                <w:rFonts w:ascii="宋体" w:hAnsi="宋体" w:cs="黑体-简" w:hint="eastAsia"/>
                <w:kern w:val="0"/>
                <w:szCs w:val="21"/>
                <w:highlight w:val="yellow"/>
              </w:rPr>
              <w:t>为保证系统的兼容及稳定性，如非统一品牌，要求采用的软件和学校原有软件系统兼容，提供兼容证明，加盖双方公章。</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要求采用分布式架构，应支持存储系统在线Scale-out扩展，其性能随存储节点数量增加线性扩展。</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系统应支持CLI命令行管理以及图形化管理界面，图形化管理监控中心应可以实现设备监控、告警管理、卷管理、系统管理等功能(提供管理监控中心图形化每个功能的截图）。</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每个存储节点既可存储数据，也应能对外提供存储访问服务。</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应支持在不停机情况下，通过向存储系统中增加存储节点的方式实现业务不中断情况下的容量和性能扩充。</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任意节点发生故障，应可在不间断业务的情况下进行修复。</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存储系统应支持节点间容错，允许至少任意一台存储节点损坏，不影响数据的读写访问以及完整性。</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存储系统服务应采用IP网络，同时支持NFS、CIFS、FTP等,支持POSIX接口规范，存储系统可映射为本地磁盘或文件系统目录，方便与应用系统对接使用。</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客户端应支持Linux（CentOS、RedHat、Ubuntu）、FreeBSD、Windows、苹果MacOS X等主流操作系统。</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要求存储系统全冗余，管理及存储节点必须是高可用配置。当管理节点出现故障时，要能自动切换到备用管理节点。任何一个节点出现故障，不影响数据的正常访问，存储系统仍然保证数据100%完整，并且不会停机中断服务。</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应提供简体中文管理软件，实现通过集中管理控制台监控网络中所有服务器、存储器等设备的工作状态，实现预警功能。</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应实现关键部件的提前预警能力：CPU、内存、硬盘驱动器、电源及风扇灯，故障前可提前报警。</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故障部件应具备快速诊断功能。</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系统支持的总节点数不小于1024个。</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应支持数据块级别坏块监控统计与文件修复功能。</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应支持对磁盘损坏、空间利用情况的监控。</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应支持在系统空闲时，硬盘自动休眠来增加磁盘寿命和节省能源。系统在有读写等请求时，硬盘应可以自动唤醒。</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应支持数据快照功能，可以针对文件或文件夹设置快照。</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应支持目录配额管理功能，支持精简配置功能。</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应提供开放的服务访问和管理接口，支持POSIX接口访问，用户可当成海量磁盘使用，编程接口与操作本地文件系统完全相同，另外可根据需要提供相应API。</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lastRenderedPageBreak/>
              <w:t>应提供全部资源管理类、性能监控类、故障监控类等信息可通过接口输出给业务运营支撑系统，具体数据包括不限于：设备配置参数、资源使用计量、性能监控数据、故障监控数据、资源控制指令等。</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应提供管理报表、统计分析、图形展现等数据可通过接口输出给业务运营支撑系统。</w:t>
            </w:r>
          </w:p>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应具有远程管理和事件通知功能。支持网管远程监控。</w:t>
            </w:r>
          </w:p>
        </w:tc>
        <w:tc>
          <w:tcPr>
            <w:tcW w:w="618"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lastRenderedPageBreak/>
              <w:t>1套</w:t>
            </w:r>
          </w:p>
        </w:tc>
      </w:tr>
      <w:tr w:rsidR="00FB3FD1" w:rsidRPr="00FB3FD1" w:rsidTr="000F5DCD">
        <w:trPr>
          <w:trHeight w:val="630"/>
        </w:trPr>
        <w:tc>
          <w:tcPr>
            <w:tcW w:w="469" w:type="pct"/>
            <w:tcBorders>
              <w:top w:val="nil"/>
              <w:left w:val="single" w:sz="4" w:space="0" w:color="000000"/>
              <w:bottom w:val="single" w:sz="4" w:space="0" w:color="000000"/>
              <w:right w:val="single" w:sz="4" w:space="0" w:color="000000"/>
            </w:tcBorders>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lastRenderedPageBreak/>
              <w:t>5</w:t>
            </w:r>
          </w:p>
        </w:tc>
        <w:tc>
          <w:tcPr>
            <w:tcW w:w="1147" w:type="pct"/>
            <w:tcBorders>
              <w:top w:val="nil"/>
              <w:left w:val="single" w:sz="4" w:space="0" w:color="000000"/>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系统应用迁移</w:t>
            </w:r>
          </w:p>
        </w:tc>
        <w:tc>
          <w:tcPr>
            <w:tcW w:w="2766"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left"/>
              <w:rPr>
                <w:rFonts w:ascii="宋体" w:hAnsi="宋体" w:cs="黑体-简"/>
                <w:kern w:val="0"/>
                <w:szCs w:val="21"/>
              </w:rPr>
            </w:pPr>
            <w:r w:rsidRPr="00FB3FD1">
              <w:rPr>
                <w:rFonts w:ascii="宋体" w:hAnsi="宋体" w:cs="黑体-简" w:hint="eastAsia"/>
                <w:kern w:val="0"/>
                <w:szCs w:val="21"/>
              </w:rPr>
              <w:t>迁移云盘应用及数据库服务，并完成配置联调，具体要求见“扩容服务技术要求、应用迁移服务要求、数据库迁移服务要求”</w:t>
            </w:r>
          </w:p>
        </w:tc>
        <w:tc>
          <w:tcPr>
            <w:tcW w:w="618" w:type="pct"/>
            <w:tcBorders>
              <w:top w:val="nil"/>
              <w:left w:val="nil"/>
              <w:bottom w:val="single" w:sz="4" w:space="0" w:color="000000"/>
              <w:right w:val="single" w:sz="4" w:space="0" w:color="000000"/>
            </w:tcBorders>
            <w:shd w:val="clear" w:color="auto" w:fill="auto"/>
            <w:vAlign w:val="center"/>
          </w:tcPr>
          <w:p w:rsidR="00FB3FD1" w:rsidRPr="00FB3FD1" w:rsidRDefault="00FB3FD1" w:rsidP="000F5DCD">
            <w:pPr>
              <w:widowControl/>
              <w:snapToGrid w:val="0"/>
              <w:spacing w:line="0" w:lineRule="atLeast"/>
              <w:jc w:val="center"/>
              <w:rPr>
                <w:rFonts w:ascii="宋体" w:hAnsi="宋体" w:cs="黑体-简"/>
                <w:kern w:val="0"/>
                <w:szCs w:val="21"/>
              </w:rPr>
            </w:pPr>
            <w:r w:rsidRPr="00FB3FD1">
              <w:rPr>
                <w:rFonts w:ascii="宋体" w:hAnsi="宋体" w:cs="黑体-简" w:hint="eastAsia"/>
                <w:kern w:val="0"/>
                <w:szCs w:val="21"/>
              </w:rPr>
              <w:t>6人天</w:t>
            </w:r>
          </w:p>
        </w:tc>
      </w:tr>
    </w:tbl>
    <w:p w:rsidR="00FB3FD1" w:rsidRPr="00FB3FD1" w:rsidRDefault="00FB3FD1" w:rsidP="00FB3FD1">
      <w:pPr>
        <w:snapToGrid w:val="0"/>
        <w:spacing w:before="163" w:after="163"/>
        <w:rPr>
          <w:rFonts w:ascii="宋体" w:hAnsi="宋体" w:cs="黑体-简"/>
          <w:b/>
          <w:bCs/>
          <w:szCs w:val="21"/>
        </w:rPr>
      </w:pPr>
      <w:r w:rsidRPr="00FB3FD1">
        <w:rPr>
          <w:rFonts w:ascii="宋体" w:hAnsi="宋体" w:cs="黑体-简" w:hint="eastAsia"/>
          <w:b/>
          <w:bCs/>
          <w:szCs w:val="21"/>
        </w:rPr>
        <w:t>扩容服务技术要求</w:t>
      </w:r>
    </w:p>
    <w:p w:rsidR="00FB3FD1" w:rsidRPr="00FB3FD1" w:rsidRDefault="00FB3FD1" w:rsidP="00FB3FD1">
      <w:pPr>
        <w:snapToGrid w:val="0"/>
        <w:spacing w:before="163" w:after="163"/>
        <w:ind w:firstLine="480"/>
        <w:rPr>
          <w:rFonts w:ascii="宋体" w:hAnsi="宋体" w:cs="黑体-简"/>
          <w:szCs w:val="21"/>
        </w:rPr>
      </w:pPr>
      <w:r w:rsidRPr="00FB3FD1">
        <w:rPr>
          <w:rFonts w:ascii="宋体" w:hAnsi="宋体" w:cs="黑体-简" w:hint="eastAsia"/>
          <w:szCs w:val="21"/>
        </w:rPr>
        <w:t>本次项目扩容及系统应用迁移工作，应满足以下要求：</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应能够利用新采购服务器节点，用于复用部署云盘应用服务及云盘数据库服务，并对原有应用系统进行数据迁移。</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应能够利用新采购服务器作为云盘节点，对外做负载均衡配置，提升云盘系统并发处理能力。</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针对业务应用数据库，应采用集群模式部署，避免单点故障保证数据安全。</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云盘应用节点应能够挂载分布式共享存储，提供云盘统一存储空间。</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应使用一台服务器节点，兼做云存储节点，实现云存储平台空间扩容。</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应在不影响云盘应用和云盘数据库集群的情况下，在新服务器中部署云存储管理软件。</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应能够把新服务器上的所有磁盘空间纳入原有云存储资源池并实现统一管理。</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提供内部数据调配技术服务，实现数据在新服务器和原有服务器间均衡分布。</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云存储总空间完成扩容后，应可按需分配给学校各业务使用。</w:t>
      </w:r>
    </w:p>
    <w:p w:rsidR="00FB3FD1" w:rsidRPr="00FB3FD1" w:rsidRDefault="00FB3FD1" w:rsidP="00FB3FD1">
      <w:pPr>
        <w:snapToGrid w:val="0"/>
        <w:spacing w:before="163" w:after="163"/>
        <w:rPr>
          <w:rFonts w:ascii="宋体" w:hAnsi="宋体" w:cs="黑体-简"/>
          <w:b/>
          <w:bCs/>
          <w:szCs w:val="21"/>
        </w:rPr>
      </w:pPr>
      <w:r w:rsidRPr="00FB3FD1">
        <w:rPr>
          <w:rFonts w:ascii="宋体" w:hAnsi="宋体" w:cs="黑体-简" w:hint="eastAsia"/>
          <w:b/>
          <w:bCs/>
          <w:szCs w:val="21"/>
        </w:rPr>
        <w:t>应用迁移服务要求</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需提供将原有旧物理机上云盘服务迁移至新服务器的技术服务。</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需提供在新服务器上逐台重新部署、配置并调试云盘应用，并能保证与原服务版本及功能保持一致。</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应能够保证迁移后的每台云盘应用服务器主机可以独立正常提供服务，并与新的数据库和存储服务集成，。</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需提供重新配置负载均衡并映射云盘服务域名的技术服务。</w:t>
      </w:r>
    </w:p>
    <w:p w:rsidR="00FB3FD1" w:rsidRPr="00FB3FD1" w:rsidRDefault="00FB3FD1" w:rsidP="00FB3FD1">
      <w:pPr>
        <w:snapToGrid w:val="0"/>
        <w:spacing w:before="163" w:after="163"/>
        <w:ind w:firstLineChars="100" w:firstLine="211"/>
        <w:rPr>
          <w:rFonts w:ascii="宋体" w:hAnsi="宋体" w:cs="黑体-简"/>
          <w:b/>
          <w:bCs/>
          <w:szCs w:val="21"/>
        </w:rPr>
      </w:pPr>
      <w:r w:rsidRPr="00FB3FD1">
        <w:rPr>
          <w:rFonts w:ascii="宋体" w:hAnsi="宋体" w:cs="黑体-简" w:hint="eastAsia"/>
          <w:b/>
          <w:bCs/>
          <w:szCs w:val="21"/>
        </w:rPr>
        <w:t>数据库迁移服务要求</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需提供将原有数据库集群中的数据迁移至新服务器的技术服务。</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需提供在新服务器上部署数据库软件，并保证与现有数据库集群网络互通的技术服务。</w:t>
      </w:r>
    </w:p>
    <w:p w:rsidR="00FB3FD1" w:rsidRPr="00FB3FD1" w:rsidRDefault="00FB3FD1" w:rsidP="00FB3FD1">
      <w:pPr>
        <w:numPr>
          <w:ilvl w:val="0"/>
          <w:numId w:val="5"/>
        </w:numPr>
        <w:snapToGrid w:val="0"/>
        <w:spacing w:before="163" w:after="163"/>
        <w:rPr>
          <w:rFonts w:ascii="宋体" w:hAnsi="宋体" w:cs="黑体-简"/>
          <w:szCs w:val="21"/>
        </w:rPr>
      </w:pPr>
      <w:r w:rsidRPr="00FB3FD1">
        <w:rPr>
          <w:rFonts w:ascii="宋体" w:hAnsi="宋体" w:cs="黑体-简" w:hint="eastAsia"/>
          <w:szCs w:val="21"/>
        </w:rPr>
        <w:t>需提供新节点加入原有数据库集群，并能够保证数据同步到新节点。</w:t>
      </w:r>
    </w:p>
    <w:p w:rsidR="00FB3FD1" w:rsidRPr="00FB3FD1" w:rsidRDefault="00FB3FD1" w:rsidP="00FB3FD1">
      <w:pPr>
        <w:numPr>
          <w:ilvl w:val="0"/>
          <w:numId w:val="5"/>
        </w:numPr>
        <w:snapToGrid w:val="0"/>
        <w:spacing w:before="163" w:after="163"/>
        <w:rPr>
          <w:rFonts w:ascii="宋体" w:hAnsi="宋体" w:cs="黑体-简"/>
          <w:b/>
          <w:szCs w:val="21"/>
        </w:rPr>
      </w:pPr>
      <w:r w:rsidRPr="00FB3FD1">
        <w:rPr>
          <w:rFonts w:ascii="宋体" w:hAnsi="宋体" w:cs="黑体-简" w:hint="eastAsia"/>
          <w:szCs w:val="21"/>
        </w:rPr>
        <w:t>需提供新节点配置成数据库多主集群，并把数据再同步到其他两台新节点的技术服务。</w:t>
      </w:r>
    </w:p>
    <w:p w:rsidR="00FB3FD1" w:rsidRPr="00FB3FD1" w:rsidRDefault="00FB3FD1" w:rsidP="00FB3FD1">
      <w:pPr>
        <w:ind w:firstLineChars="200" w:firstLine="422"/>
        <w:outlineLvl w:val="0"/>
        <w:rPr>
          <w:rFonts w:ascii="宋体" w:hAnsi="宋体" w:cs="黑体-简"/>
          <w:b/>
          <w:bCs/>
          <w:szCs w:val="21"/>
        </w:rPr>
      </w:pPr>
      <w:r w:rsidRPr="00FB3FD1">
        <w:rPr>
          <w:rFonts w:ascii="宋体" w:hAnsi="宋体" w:cs="黑体-简"/>
          <w:b/>
          <w:bCs/>
          <w:szCs w:val="21"/>
        </w:rPr>
        <w:t>五．</w:t>
      </w:r>
      <w:r w:rsidRPr="00FB3FD1">
        <w:rPr>
          <w:rFonts w:ascii="宋体" w:hAnsi="宋体" w:cs="黑体-简" w:hint="eastAsia"/>
          <w:b/>
          <w:bCs/>
          <w:szCs w:val="21"/>
        </w:rPr>
        <w:t>交货期要求</w:t>
      </w:r>
    </w:p>
    <w:p w:rsidR="00FB3FD1" w:rsidRPr="00FB3FD1" w:rsidRDefault="00FB3FD1" w:rsidP="00FB3FD1">
      <w:pPr>
        <w:ind w:firstLineChars="200" w:firstLine="420"/>
        <w:rPr>
          <w:rFonts w:ascii="宋体" w:hAnsi="宋体" w:cs="黑体-简"/>
          <w:szCs w:val="21"/>
        </w:rPr>
      </w:pPr>
      <w:r w:rsidRPr="00FB3FD1">
        <w:rPr>
          <w:rFonts w:ascii="宋体" w:hAnsi="宋体" w:cs="黑体-简" w:hint="eastAsia"/>
          <w:szCs w:val="21"/>
        </w:rPr>
        <w:t>合同签订后20个工作日内设备到场，安装时间由校方根据实际情况确定。</w:t>
      </w:r>
    </w:p>
    <w:p w:rsidR="00FB3FD1" w:rsidRPr="00FB3FD1" w:rsidRDefault="00FB3FD1" w:rsidP="00FB3FD1">
      <w:pPr>
        <w:ind w:firstLineChars="200" w:firstLine="422"/>
        <w:rPr>
          <w:rFonts w:ascii="宋体" w:hAnsi="宋体" w:cs="黑体-简"/>
          <w:b/>
          <w:szCs w:val="21"/>
        </w:rPr>
      </w:pPr>
      <w:r w:rsidRPr="00FB3FD1">
        <w:rPr>
          <w:rFonts w:ascii="宋体" w:hAnsi="宋体" w:cs="黑体-简"/>
          <w:b/>
          <w:szCs w:val="21"/>
        </w:rPr>
        <w:t>六．</w:t>
      </w:r>
      <w:r w:rsidRPr="00FB3FD1">
        <w:rPr>
          <w:rFonts w:ascii="宋体" w:hAnsi="宋体" w:cs="黑体-简" w:hint="eastAsia"/>
          <w:b/>
          <w:szCs w:val="21"/>
        </w:rPr>
        <w:t>付款方式和条件</w:t>
      </w:r>
    </w:p>
    <w:p w:rsidR="00FB3FD1" w:rsidRPr="00FB3FD1" w:rsidRDefault="00FB3FD1" w:rsidP="00FB3FD1">
      <w:pPr>
        <w:ind w:firstLineChars="200" w:firstLine="420"/>
        <w:rPr>
          <w:rFonts w:ascii="宋体" w:hAnsi="宋体" w:cs="黑体-简"/>
          <w:szCs w:val="21"/>
        </w:rPr>
      </w:pPr>
      <w:r w:rsidRPr="00FB3FD1">
        <w:rPr>
          <w:rFonts w:ascii="宋体" w:hAnsi="宋体" w:cs="黑体-简" w:hint="eastAsia"/>
          <w:szCs w:val="21"/>
        </w:rPr>
        <w:t>设备到场并试运行验收合格后10个工作日内付清全款。</w:t>
      </w:r>
    </w:p>
    <w:p w:rsidR="00FB3FD1" w:rsidRPr="00FB3FD1" w:rsidRDefault="00FB3FD1" w:rsidP="00FB3FD1">
      <w:pPr>
        <w:spacing w:line="360" w:lineRule="auto"/>
        <w:ind w:firstLineChars="200" w:firstLine="422"/>
        <w:rPr>
          <w:rFonts w:ascii="宋体" w:hAnsi="宋体" w:cs="黑体-简"/>
          <w:b/>
          <w:szCs w:val="21"/>
        </w:rPr>
      </w:pPr>
      <w:r w:rsidRPr="00FB3FD1">
        <w:rPr>
          <w:rFonts w:ascii="宋体" w:hAnsi="宋体" w:cs="黑体-简"/>
          <w:b/>
          <w:szCs w:val="21"/>
        </w:rPr>
        <w:t>七．</w:t>
      </w:r>
      <w:r w:rsidRPr="00FB3FD1">
        <w:rPr>
          <w:rFonts w:ascii="宋体" w:hAnsi="宋体" w:cs="黑体-简" w:hint="eastAsia"/>
          <w:b/>
          <w:szCs w:val="21"/>
        </w:rPr>
        <w:t>售后服务及质保期</w:t>
      </w:r>
    </w:p>
    <w:p w:rsidR="00FB3FD1" w:rsidRPr="00FB3FD1" w:rsidRDefault="00FB3FD1" w:rsidP="00FB3FD1">
      <w:pPr>
        <w:ind w:firstLineChars="200" w:firstLine="420"/>
        <w:rPr>
          <w:rFonts w:ascii="宋体" w:hAnsi="宋体" w:cs="黑体-简"/>
          <w:szCs w:val="21"/>
        </w:rPr>
      </w:pPr>
      <w:r w:rsidRPr="00FB3FD1">
        <w:rPr>
          <w:rFonts w:ascii="宋体" w:hAnsi="宋体" w:cs="黑体-简" w:hint="eastAsia"/>
          <w:szCs w:val="21"/>
        </w:rPr>
        <w:lastRenderedPageBreak/>
        <w:t>质保期：（1）本次采购设备质保期为三年。</w:t>
      </w:r>
    </w:p>
    <w:p w:rsidR="00FB3FD1" w:rsidRPr="00FB3FD1" w:rsidRDefault="00FB3FD1" w:rsidP="00FB3FD1">
      <w:pPr>
        <w:ind w:firstLineChars="550" w:firstLine="1155"/>
        <w:rPr>
          <w:rFonts w:ascii="宋体" w:hAnsi="宋体" w:cs="黑体-简"/>
          <w:szCs w:val="21"/>
        </w:rPr>
      </w:pPr>
      <w:r>
        <w:rPr>
          <w:rFonts w:ascii="宋体" w:hAnsi="宋体" w:cs="黑体-简" w:hint="eastAsia"/>
          <w:szCs w:val="21"/>
        </w:rPr>
        <w:t>（2）</w:t>
      </w:r>
      <w:r w:rsidRPr="00FB3FD1">
        <w:rPr>
          <w:rFonts w:ascii="宋体" w:hAnsi="宋体" w:cs="黑体-简" w:hint="eastAsia"/>
          <w:szCs w:val="21"/>
        </w:rPr>
        <w:t xml:space="preserve">质保期自校方代表在验收单上签字之日起计算。   </w:t>
      </w:r>
    </w:p>
    <w:p w:rsidR="00FB3FD1" w:rsidRPr="00FB3FD1" w:rsidRDefault="00FB3FD1" w:rsidP="00FB3FD1">
      <w:pPr>
        <w:ind w:firstLineChars="200" w:firstLine="420"/>
        <w:rPr>
          <w:rFonts w:ascii="宋体" w:hAnsi="宋体" w:cs="黑体-简"/>
          <w:szCs w:val="21"/>
        </w:rPr>
      </w:pPr>
      <w:r w:rsidRPr="00FB3FD1">
        <w:rPr>
          <w:rFonts w:ascii="宋体" w:hAnsi="宋体" w:cs="黑体-简" w:hint="eastAsia"/>
          <w:szCs w:val="21"/>
        </w:rPr>
        <w:t xml:space="preserve">售后服务： </w:t>
      </w:r>
      <w:bookmarkStart w:id="0" w:name="_GoBack"/>
      <w:bookmarkEnd w:id="0"/>
      <w:r w:rsidRPr="00FB3FD1">
        <w:rPr>
          <w:rFonts w:ascii="宋体" w:hAnsi="宋体" w:cs="黑体-简" w:hint="eastAsia"/>
          <w:szCs w:val="21"/>
        </w:rPr>
        <w:t>（1）质保期内，中标人负责联系产品厂家对其提供的设备、软件进行维修或更换，不收取额外费用。</w:t>
      </w:r>
    </w:p>
    <w:p w:rsidR="00FB3FD1" w:rsidRPr="00FB3FD1" w:rsidRDefault="00FB3FD1" w:rsidP="00FB3FD1">
      <w:pPr>
        <w:ind w:leftChars="598" w:left="1256"/>
        <w:rPr>
          <w:rFonts w:ascii="宋体" w:hAnsi="宋体" w:cs="黑体-简"/>
          <w:szCs w:val="21"/>
        </w:rPr>
      </w:pPr>
      <w:r w:rsidRPr="00FB3FD1">
        <w:rPr>
          <w:rFonts w:ascii="宋体" w:hAnsi="宋体" w:cs="黑体-简" w:hint="eastAsia"/>
          <w:szCs w:val="21"/>
        </w:rPr>
        <w:t>（2）质保期内，在接到校方报修通知后，中标方维修人员需按约定赶到现场提供故障排除服务，如涉及非本次采购的其他网络设备故障，仍需协助校方排除故障，直至校方系统完全恢复正常。</w:t>
      </w:r>
    </w:p>
    <w:p w:rsidR="00FB3FD1" w:rsidRPr="00FB3FD1" w:rsidRDefault="00FB3FD1" w:rsidP="00FB3FD1">
      <w:pPr>
        <w:ind w:leftChars="460" w:left="1386" w:hangingChars="200" w:hanging="420"/>
        <w:rPr>
          <w:rFonts w:ascii="宋体" w:hAnsi="宋体" w:cs="黑体-简"/>
          <w:szCs w:val="21"/>
        </w:rPr>
      </w:pPr>
      <w:r w:rsidRPr="00FB3FD1">
        <w:rPr>
          <w:rFonts w:ascii="宋体" w:hAnsi="宋体" w:cs="黑体-简" w:hint="eastAsia"/>
          <w:szCs w:val="21"/>
        </w:rPr>
        <w:t xml:space="preserve">   （3）超过质保期的设备，如遇生产厂商产品调整停止生产，中标人需提前通知校方，并同时告知可替代的新产品。如设备发生硬件故障，校方仍需维修时，中标人应按当时同类产品的市场维修价格提供产品维修。</w:t>
      </w:r>
    </w:p>
    <w:p w:rsidR="00FB3FD1" w:rsidRPr="00FB3FD1" w:rsidRDefault="00FB3FD1" w:rsidP="00FB3FD1">
      <w:pPr>
        <w:ind w:leftChars="184" w:left="1229" w:hangingChars="400" w:hanging="843"/>
        <w:rPr>
          <w:rFonts w:ascii="宋体" w:hAnsi="宋体" w:cs="黑体-简"/>
          <w:b/>
          <w:kern w:val="0"/>
          <w:szCs w:val="21"/>
        </w:rPr>
      </w:pPr>
      <w:r w:rsidRPr="00FB3FD1">
        <w:rPr>
          <w:rFonts w:ascii="宋体" w:hAnsi="宋体" w:cs="黑体-简"/>
          <w:b/>
          <w:kern w:val="0"/>
          <w:szCs w:val="21"/>
        </w:rPr>
        <w:t>八．</w:t>
      </w:r>
      <w:r w:rsidRPr="00FB3FD1">
        <w:rPr>
          <w:rFonts w:ascii="宋体" w:hAnsi="宋体" w:cs="黑体-简" w:hint="eastAsia"/>
          <w:b/>
          <w:kern w:val="0"/>
          <w:szCs w:val="21"/>
        </w:rPr>
        <w:t>质量保证</w:t>
      </w:r>
    </w:p>
    <w:p w:rsidR="00FB3FD1" w:rsidRPr="00FB3FD1" w:rsidRDefault="00FB3FD1" w:rsidP="00FB3FD1">
      <w:pPr>
        <w:tabs>
          <w:tab w:val="left" w:pos="1248"/>
        </w:tabs>
        <w:ind w:leftChars="184" w:left="386" w:firstLineChars="200" w:firstLine="420"/>
        <w:rPr>
          <w:rFonts w:ascii="宋体" w:hAnsi="宋体" w:cs="黑体-简"/>
          <w:szCs w:val="21"/>
        </w:rPr>
      </w:pPr>
      <w:r w:rsidRPr="00FB3FD1">
        <w:rPr>
          <w:rFonts w:ascii="宋体" w:hAnsi="宋体" w:cs="黑体-简" w:hint="eastAsia"/>
          <w:szCs w:val="21"/>
        </w:rPr>
        <w:t>中标方应保证货物是全新、未使用过的，是经过合法渠道进货的原装合格正品，并完全符合合同规定的质量、规格和性能的要求。中标方应保证其货物在正确安装、正常使用和保养条件下，在其使用寿命期内应具有满意的性能。中标方应保证项目整体能正常运行，达到校方要求。</w:t>
      </w:r>
    </w:p>
    <w:p w:rsidR="00FB3FD1" w:rsidRPr="00FB3FD1" w:rsidRDefault="00FB3FD1" w:rsidP="00FB3FD1">
      <w:pPr>
        <w:pStyle w:val="a7"/>
        <w:overflowPunct w:val="0"/>
        <w:ind w:firstLineChars="196" w:firstLine="413"/>
        <w:rPr>
          <w:rFonts w:hAnsi="宋体" w:cs="黑体-简"/>
          <w:b/>
          <w:sz w:val="21"/>
          <w:szCs w:val="21"/>
        </w:rPr>
      </w:pPr>
      <w:r w:rsidRPr="00FB3FD1">
        <w:rPr>
          <w:rFonts w:hAnsi="宋体" w:cs="黑体-简"/>
          <w:b/>
          <w:sz w:val="21"/>
          <w:szCs w:val="21"/>
        </w:rPr>
        <w:t>九．</w:t>
      </w:r>
      <w:r w:rsidRPr="00FB3FD1">
        <w:rPr>
          <w:rFonts w:hAnsi="宋体" w:cs="黑体-简" w:hint="eastAsia"/>
          <w:b/>
          <w:sz w:val="21"/>
          <w:szCs w:val="21"/>
        </w:rPr>
        <w:t>验收</w:t>
      </w:r>
    </w:p>
    <w:p w:rsidR="00FB3FD1" w:rsidRPr="00FB3FD1" w:rsidRDefault="00FB3FD1" w:rsidP="00FB3FD1">
      <w:pPr>
        <w:pStyle w:val="a7"/>
        <w:overflowPunct w:val="0"/>
        <w:rPr>
          <w:rFonts w:hAnsi="宋体" w:cs="黑体-简"/>
          <w:kern w:val="2"/>
          <w:sz w:val="21"/>
          <w:szCs w:val="21"/>
        </w:rPr>
      </w:pPr>
      <w:r w:rsidRPr="00FB3FD1">
        <w:rPr>
          <w:rFonts w:hAnsi="宋体" w:cs="黑体-简" w:hint="eastAsia"/>
          <w:kern w:val="2"/>
          <w:sz w:val="21"/>
          <w:szCs w:val="21"/>
        </w:rPr>
        <w:t>验收依据：招标文件、合同、校方和中标方共同确定的其他技术文件。</w:t>
      </w:r>
    </w:p>
    <w:p w:rsidR="00806478" w:rsidRPr="00FB3FD1" w:rsidRDefault="00806478" w:rsidP="00806478">
      <w:pPr>
        <w:rPr>
          <w:rFonts w:ascii="宋体" w:hAnsi="宋体"/>
          <w:sz w:val="24"/>
        </w:rPr>
      </w:pPr>
    </w:p>
    <w:p w:rsidR="008F4BC8" w:rsidRPr="00806478" w:rsidRDefault="008F4BC8" w:rsidP="008F4BC8">
      <w:pPr>
        <w:spacing w:line="360" w:lineRule="auto"/>
        <w:ind w:firstLineChars="200" w:firstLine="482"/>
        <w:rPr>
          <w:rFonts w:asciiTheme="minorEastAsia" w:eastAsiaTheme="minorEastAsia" w:hAnsiTheme="minorEastAsia"/>
          <w:b/>
          <w:sz w:val="24"/>
          <w:szCs w:val="24"/>
        </w:rPr>
      </w:pPr>
    </w:p>
    <w:p w:rsidR="008F4BC8" w:rsidRDefault="008F4BC8"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B11960" w:rsidRDefault="00B11960"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806478" w:rsidRDefault="00806478" w:rsidP="008F4BC8">
      <w:pPr>
        <w:rPr>
          <w:rFonts w:asciiTheme="minorEastAsia" w:eastAsiaTheme="minorEastAsia" w:hAnsiTheme="minorEastAsia"/>
        </w:rPr>
      </w:pPr>
    </w:p>
    <w:p w:rsidR="00214B78" w:rsidRPr="00A12FDC"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A12FDC">
        <w:rPr>
          <w:rFonts w:asciiTheme="minorEastAsia" w:eastAsiaTheme="minorEastAsia" w:hAnsiTheme="minorEastAsia" w:hint="eastAsia"/>
        </w:rPr>
        <w:lastRenderedPageBreak/>
        <w:t>附件一：</w:t>
      </w:r>
    </w:p>
    <w:p w:rsidR="00214B78" w:rsidRPr="00A12FDC" w:rsidRDefault="00214B78" w:rsidP="00214B78">
      <w:pPr>
        <w:spacing w:line="360" w:lineRule="auto"/>
        <w:ind w:firstLineChars="200" w:firstLine="482"/>
        <w:jc w:val="center"/>
        <w:rPr>
          <w:rFonts w:asciiTheme="minorEastAsia" w:eastAsiaTheme="minorEastAsia" w:hAnsiTheme="minorEastAsia"/>
          <w:b/>
          <w:sz w:val="24"/>
          <w:szCs w:val="24"/>
        </w:rPr>
      </w:pPr>
      <w:r w:rsidRPr="00A12FDC">
        <w:rPr>
          <w:rFonts w:asciiTheme="minorEastAsia" w:eastAsiaTheme="minorEastAsia" w:hAnsiTheme="minorEastAsia" w:hint="eastAsia"/>
          <w:b/>
          <w:sz w:val="24"/>
          <w:szCs w:val="24"/>
        </w:rPr>
        <w:t>声    明    函</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我单位收到贵单位“</w:t>
      </w:r>
      <w:r w:rsidR="00B11960">
        <w:rPr>
          <w:rFonts w:asciiTheme="minorEastAsia" w:eastAsiaTheme="minorEastAsia" w:hAnsiTheme="minorEastAsia"/>
          <w:sz w:val="24"/>
          <w:szCs w:val="24"/>
        </w:rPr>
        <w:t>DZJJJH202000</w:t>
      </w:r>
      <w:r w:rsidR="00FB3FD1">
        <w:rPr>
          <w:rFonts w:asciiTheme="minorEastAsia" w:eastAsiaTheme="minorEastAsia" w:hAnsiTheme="minorEastAsia" w:hint="eastAsia"/>
          <w:sz w:val="24"/>
          <w:szCs w:val="24"/>
        </w:rPr>
        <w:t>18</w:t>
      </w:r>
      <w:r w:rsidRPr="00A12FDC">
        <w:rPr>
          <w:rFonts w:asciiTheme="minorEastAsia" w:eastAsiaTheme="minorEastAsia" w:hAnsiTheme="minorEastAsia" w:hint="eastAsia"/>
          <w:sz w:val="24"/>
          <w:szCs w:val="24"/>
        </w:rPr>
        <w:t>”采购文件后，经详细研究，我们决定参加该项目采购活动。为此，我方郑重声明以下诸点，并负法律责任。</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1、按采购文件规定的各项要求，向采购人提供所需货物与服务。报价包括但不限于采购文件及其准备（包括现场踏勘、技术核对等）、设备（包括备品备件、专用工具）、技术资料、设计、制造、检验、包装、技术资料、发货、运输、装卸至现场指定地点、安装调试、技术指导培训、质保期及维保服务和采购文件所要求的相关服务等全部内容。</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2、我方承诺质保期为     年。</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3、我方承诺财务状况良好，依法缴纳税收和社会保障资金，具备履行合同所必需的设备和专业技术能力，参加政府采购活动前3年内在经营活动中没有重大违法记录。</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4、我方承诺该响应文件在该项目的全过程中保持有效，不作任何更改和变动。</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5、我们愿按《中华人民共和国合同法》履行自己的全部责任。</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6、我方承诺完全响应采购文件要求，遵守贵机构有关采购活动的各项规定。</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7、愿意提供采购文件中要求所有资料，并保证完全真实准确，若有虚假和违背，我公司愿意承担由此而产生的一切后果。</w:t>
      </w:r>
    </w:p>
    <w:p w:rsidR="00214B78" w:rsidRPr="00A12FDC" w:rsidRDefault="00214B78" w:rsidP="00214B78">
      <w:pPr>
        <w:spacing w:line="360" w:lineRule="auto"/>
        <w:ind w:firstLine="42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8、与本次采购活动有关的正式通讯地址为：</w:t>
      </w: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地</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址：</w:t>
      </w:r>
      <w:r w:rsidRPr="00A12FDC">
        <w:rPr>
          <w:rFonts w:asciiTheme="minorEastAsia" w:eastAsiaTheme="minorEastAsia" w:hAnsiTheme="minorEastAsia"/>
          <w:szCs w:val="21"/>
        </w:rPr>
        <w:t xml:space="preserve">                  </w:t>
      </w: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电</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话：</w:t>
      </w:r>
      <w:r w:rsidRPr="00A12FDC">
        <w:rPr>
          <w:rFonts w:asciiTheme="minorEastAsia" w:eastAsiaTheme="minorEastAsia" w:hAnsiTheme="minorEastAsia"/>
          <w:szCs w:val="21"/>
        </w:rPr>
        <w:t xml:space="preserve">                  </w:t>
      </w: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传</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真：</w:t>
      </w:r>
      <w:r w:rsidRPr="00A12FDC">
        <w:rPr>
          <w:rFonts w:asciiTheme="minorEastAsia" w:eastAsiaTheme="minorEastAsia" w:hAnsiTheme="minorEastAsia"/>
          <w:szCs w:val="21"/>
        </w:rPr>
        <w:t xml:space="preserve">                  </w:t>
      </w: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供应商法定代表人或代理人（签字或盖章）：</w:t>
      </w:r>
      <w:r w:rsidRPr="00A12FDC">
        <w:rPr>
          <w:rFonts w:asciiTheme="minorEastAsia" w:eastAsiaTheme="minorEastAsia" w:hAnsiTheme="minorEastAsia"/>
          <w:szCs w:val="21"/>
        </w:rPr>
        <w:t xml:space="preserve">       </w:t>
      </w: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供应商名称（公章）：</w:t>
      </w:r>
      <w:r w:rsidRPr="00A12FDC">
        <w:rPr>
          <w:rFonts w:asciiTheme="minorEastAsia" w:eastAsiaTheme="minorEastAsia" w:hAnsiTheme="minorEastAsia"/>
          <w:szCs w:val="21"/>
        </w:rPr>
        <w:t xml:space="preserve">             </w:t>
      </w:r>
    </w:p>
    <w:p w:rsidR="00214B78" w:rsidRPr="00A12FDC" w:rsidRDefault="00214B78" w:rsidP="00214B78">
      <w:pPr>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日</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期：</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年</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月</w:t>
      </w:r>
      <w:r w:rsidRPr="00A12FDC">
        <w:rPr>
          <w:rFonts w:asciiTheme="minorEastAsia" w:eastAsiaTheme="minorEastAsia" w:hAnsiTheme="minorEastAsia"/>
          <w:szCs w:val="21"/>
        </w:rPr>
        <w:t xml:space="preserve">    </w:t>
      </w:r>
      <w:r w:rsidRPr="00A12FDC">
        <w:rPr>
          <w:rFonts w:asciiTheme="minorEastAsia" w:eastAsiaTheme="minorEastAsia" w:hAnsiTheme="minorEastAsia" w:hint="eastAsia"/>
          <w:szCs w:val="21"/>
        </w:rPr>
        <w:t>日.</w:t>
      </w:r>
    </w:p>
    <w:p w:rsidR="00214B78" w:rsidRPr="00A12FDC" w:rsidRDefault="00214B78" w:rsidP="00214B78">
      <w:pPr>
        <w:spacing w:line="360" w:lineRule="auto"/>
        <w:rPr>
          <w:rFonts w:asciiTheme="minorEastAsia" w:eastAsiaTheme="minorEastAsia" w:hAnsiTheme="minorEastAsia"/>
          <w:sz w:val="24"/>
          <w:szCs w:val="24"/>
        </w:rPr>
      </w:pPr>
    </w:p>
    <w:p w:rsidR="00214B78" w:rsidRDefault="00214B78" w:rsidP="00214B78">
      <w:pPr>
        <w:spacing w:line="360" w:lineRule="auto"/>
        <w:rPr>
          <w:rFonts w:asciiTheme="minorEastAsia" w:eastAsiaTheme="minorEastAsia" w:hAnsiTheme="minorEastAsia"/>
          <w:sz w:val="24"/>
          <w:szCs w:val="24"/>
        </w:rPr>
      </w:pPr>
    </w:p>
    <w:p w:rsidR="00B11960" w:rsidRDefault="00B11960" w:rsidP="00214B78">
      <w:pPr>
        <w:spacing w:line="360" w:lineRule="auto"/>
        <w:rPr>
          <w:rFonts w:asciiTheme="minorEastAsia" w:eastAsiaTheme="minorEastAsia" w:hAnsiTheme="minorEastAsia"/>
          <w:sz w:val="24"/>
          <w:szCs w:val="24"/>
        </w:rPr>
      </w:pPr>
    </w:p>
    <w:p w:rsidR="00B11960" w:rsidRDefault="00B11960" w:rsidP="00214B78">
      <w:pPr>
        <w:spacing w:line="360" w:lineRule="auto"/>
        <w:rPr>
          <w:rFonts w:asciiTheme="minorEastAsia" w:eastAsiaTheme="minorEastAsia" w:hAnsiTheme="minorEastAsia"/>
          <w:sz w:val="24"/>
          <w:szCs w:val="24"/>
        </w:rPr>
      </w:pPr>
    </w:p>
    <w:p w:rsidR="00B11960" w:rsidRDefault="00B11960" w:rsidP="00214B78">
      <w:pPr>
        <w:spacing w:line="360" w:lineRule="auto"/>
        <w:rPr>
          <w:rFonts w:asciiTheme="minorEastAsia" w:eastAsiaTheme="minorEastAsia" w:hAnsiTheme="minorEastAsia"/>
          <w:sz w:val="24"/>
          <w:szCs w:val="24"/>
        </w:rPr>
      </w:pPr>
    </w:p>
    <w:p w:rsidR="00214B78" w:rsidRPr="00A12FDC" w:rsidRDefault="00214B78" w:rsidP="00B11960">
      <w:pPr>
        <w:pStyle w:val="6"/>
        <w:numPr>
          <w:ilvl w:val="5"/>
          <w:numId w:val="0"/>
        </w:numPr>
        <w:tabs>
          <w:tab w:val="left" w:pos="425"/>
        </w:tabs>
        <w:snapToGrid w:val="0"/>
        <w:spacing w:before="156" w:line="360" w:lineRule="auto"/>
        <w:ind w:left="130"/>
        <w:jc w:val="left"/>
      </w:pPr>
      <w:r w:rsidRPr="00A12FDC">
        <w:br w:type="page"/>
      </w:r>
      <w:r w:rsidRPr="00B11960">
        <w:rPr>
          <w:rFonts w:asciiTheme="minorEastAsia" w:eastAsiaTheme="minorEastAsia" w:hAnsiTheme="minorEastAsia" w:hint="eastAsia"/>
        </w:rPr>
        <w:lastRenderedPageBreak/>
        <w:t>附件二：</w:t>
      </w:r>
    </w:p>
    <w:p w:rsidR="00214B78" w:rsidRPr="00A12FDC" w:rsidRDefault="00214B78" w:rsidP="00214B78">
      <w:pPr>
        <w:spacing w:line="360" w:lineRule="auto"/>
        <w:ind w:firstLineChars="200" w:firstLine="482"/>
        <w:jc w:val="center"/>
        <w:rPr>
          <w:rFonts w:asciiTheme="minorEastAsia" w:eastAsiaTheme="minorEastAsia" w:hAnsiTheme="minorEastAsia"/>
          <w:b/>
          <w:sz w:val="24"/>
          <w:szCs w:val="24"/>
        </w:rPr>
      </w:pPr>
      <w:r w:rsidRPr="00A12FDC">
        <w:rPr>
          <w:rFonts w:asciiTheme="minorEastAsia" w:eastAsiaTheme="minorEastAsia" w:hAnsiTheme="minorEastAsia" w:hint="eastAsia"/>
          <w:b/>
          <w:sz w:val="24"/>
          <w:szCs w:val="24"/>
        </w:rPr>
        <w:t>授权委托书</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本授权书声明：</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投标人名称)的</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(法定代表人姓名、职务)代表投标人授权</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(被授权人姓名、职务)为本投标的合法代理人，全权负责参加本项目的投标、签订合约以及与之相关的各项工作。本投标人对被授权人的签名负全部责任。</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本授权书于</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年</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月</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日签字生效，特此声明。</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法定代表人签字或盖章：</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职    务：</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单位名称：</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地    址：</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代理人(被授权人)签字：</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职    务：</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单位名称：</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地    址：</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投标人名称(盖章)：</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日     期：</w:t>
      </w:r>
    </w:p>
    <w:p w:rsidR="00214B78" w:rsidRPr="00A12FDC" w:rsidRDefault="00214B78" w:rsidP="00214B78">
      <w:pPr>
        <w:spacing w:line="360" w:lineRule="auto"/>
        <w:ind w:firstLineChars="200" w:firstLine="480"/>
        <w:rPr>
          <w:rFonts w:asciiTheme="minorEastAsia" w:eastAsiaTheme="minorEastAsia" w:hAnsiTheme="minorEastAsia"/>
          <w:sz w:val="24"/>
          <w:szCs w:val="24"/>
        </w:rPr>
      </w:pPr>
    </w:p>
    <w:p w:rsidR="00214B78" w:rsidRPr="00A12FDC" w:rsidRDefault="00214B78" w:rsidP="00214B78">
      <w:pPr>
        <w:spacing w:line="360" w:lineRule="auto"/>
        <w:ind w:firstLineChars="200" w:firstLine="560"/>
        <w:rPr>
          <w:rFonts w:asciiTheme="minorEastAsia" w:eastAsiaTheme="minorEastAsia" w:hAnsiTheme="minorEastAsia"/>
          <w:sz w:val="28"/>
          <w:szCs w:val="28"/>
        </w:rPr>
      </w:pPr>
    </w:p>
    <w:p w:rsidR="00214B78" w:rsidRPr="00A12FDC" w:rsidRDefault="00214B78" w:rsidP="00214B78">
      <w:pPr>
        <w:spacing w:line="360" w:lineRule="auto"/>
        <w:ind w:firstLineChars="200" w:firstLine="560"/>
        <w:rPr>
          <w:rFonts w:asciiTheme="minorEastAsia" w:eastAsiaTheme="minorEastAsia" w:hAnsiTheme="minorEastAsia"/>
          <w:sz w:val="28"/>
          <w:szCs w:val="28"/>
        </w:rPr>
      </w:pPr>
    </w:p>
    <w:p w:rsidR="00214B78" w:rsidRPr="00A12FDC" w:rsidRDefault="00214B78" w:rsidP="00214B78">
      <w:pPr>
        <w:spacing w:line="360" w:lineRule="auto"/>
        <w:ind w:firstLineChars="200" w:firstLine="560"/>
        <w:rPr>
          <w:rFonts w:asciiTheme="minorEastAsia" w:eastAsiaTheme="minorEastAsia" w:hAnsiTheme="minorEastAsia"/>
          <w:sz w:val="28"/>
          <w:szCs w:val="28"/>
        </w:rPr>
      </w:pPr>
    </w:p>
    <w:p w:rsidR="00214B78" w:rsidRPr="00A12FDC" w:rsidRDefault="00214B78" w:rsidP="00214B78">
      <w:pPr>
        <w:spacing w:line="360" w:lineRule="auto"/>
        <w:ind w:firstLineChars="200" w:firstLine="560"/>
        <w:rPr>
          <w:rFonts w:asciiTheme="minorEastAsia" w:eastAsiaTheme="minorEastAsia" w:hAnsiTheme="minorEastAsia"/>
          <w:sz w:val="28"/>
          <w:szCs w:val="28"/>
        </w:rPr>
      </w:pPr>
    </w:p>
    <w:p w:rsidR="00214B78" w:rsidRPr="00A12FDC" w:rsidRDefault="00214B78" w:rsidP="00214B78">
      <w:pPr>
        <w:spacing w:line="360" w:lineRule="auto"/>
        <w:ind w:firstLineChars="200" w:firstLine="560"/>
        <w:rPr>
          <w:rFonts w:asciiTheme="minorEastAsia" w:eastAsiaTheme="minorEastAsia" w:hAnsiTheme="minorEastAsia"/>
          <w:sz w:val="28"/>
          <w:szCs w:val="28"/>
        </w:rPr>
      </w:pPr>
    </w:p>
    <w:p w:rsidR="00214B78" w:rsidRPr="00A12FDC" w:rsidRDefault="00214B78" w:rsidP="00214B78">
      <w:pPr>
        <w:spacing w:line="360" w:lineRule="auto"/>
        <w:rPr>
          <w:rFonts w:asciiTheme="minorEastAsia" w:eastAsiaTheme="minorEastAsia" w:hAnsiTheme="minorEastAsia"/>
          <w:b/>
          <w:sz w:val="24"/>
          <w:szCs w:val="24"/>
        </w:rPr>
      </w:pPr>
    </w:p>
    <w:p w:rsidR="00214B78" w:rsidRPr="00A12FDC" w:rsidRDefault="00214B78" w:rsidP="00214B78">
      <w:pPr>
        <w:spacing w:line="360" w:lineRule="auto"/>
        <w:rPr>
          <w:rFonts w:asciiTheme="minorEastAsia" w:eastAsiaTheme="minorEastAsia" w:hAnsiTheme="minorEastAsia"/>
          <w:b/>
          <w:sz w:val="24"/>
          <w:szCs w:val="24"/>
        </w:rPr>
      </w:pPr>
    </w:p>
    <w:p w:rsidR="00214B78" w:rsidRPr="00A12FDC" w:rsidRDefault="00214B78" w:rsidP="00214B78">
      <w:pPr>
        <w:spacing w:line="360" w:lineRule="auto"/>
        <w:rPr>
          <w:rFonts w:asciiTheme="minorEastAsia" w:eastAsiaTheme="minorEastAsia" w:hAnsiTheme="minorEastAsia"/>
          <w:b/>
          <w:sz w:val="24"/>
          <w:szCs w:val="24"/>
        </w:rPr>
      </w:pPr>
    </w:p>
    <w:p w:rsidR="00214B78" w:rsidRPr="00A12FDC"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A12FDC">
        <w:rPr>
          <w:rFonts w:asciiTheme="minorEastAsia" w:eastAsiaTheme="minorEastAsia" w:hAnsiTheme="minorEastAsia" w:hint="eastAsia"/>
        </w:rPr>
        <w:lastRenderedPageBreak/>
        <w:t>附件三：</w:t>
      </w:r>
    </w:p>
    <w:p w:rsidR="00214B78" w:rsidRPr="00A12FDC" w:rsidRDefault="00214B78" w:rsidP="00214B78">
      <w:pPr>
        <w:snapToGrid w:val="0"/>
        <w:spacing w:line="360" w:lineRule="auto"/>
        <w:jc w:val="center"/>
        <w:rPr>
          <w:rFonts w:asciiTheme="minorEastAsia" w:eastAsiaTheme="minorEastAsia" w:hAnsiTheme="minorEastAsia"/>
          <w:b/>
          <w:sz w:val="24"/>
          <w:szCs w:val="24"/>
        </w:rPr>
      </w:pPr>
      <w:r w:rsidRPr="00A12FDC">
        <w:rPr>
          <w:rFonts w:asciiTheme="minorEastAsia" w:eastAsiaTheme="minorEastAsia" w:hAnsiTheme="minorEastAsia" w:hint="eastAsia"/>
          <w:b/>
          <w:sz w:val="24"/>
          <w:szCs w:val="24"/>
        </w:rPr>
        <w:t>开  标  一  览  表</w:t>
      </w:r>
    </w:p>
    <w:p w:rsidR="00214B78" w:rsidRPr="00A12FDC" w:rsidRDefault="00214B78" w:rsidP="00214B78">
      <w:pPr>
        <w:snapToGrid w:val="0"/>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投标人名称（盖章）：</w:t>
      </w:r>
      <w:r w:rsidRPr="00A12FDC">
        <w:rPr>
          <w:rFonts w:asciiTheme="minorEastAsia" w:eastAsiaTheme="minorEastAsia" w:hAnsiTheme="minorEastAsia" w:hint="eastAsia"/>
          <w:sz w:val="24"/>
          <w:szCs w:val="24"/>
          <w:u w:val="single"/>
        </w:rPr>
        <w:t xml:space="preserve">                           </w:t>
      </w:r>
    </w:p>
    <w:p w:rsidR="00214B78" w:rsidRPr="00A12FDC" w:rsidRDefault="00214B78" w:rsidP="00214B78">
      <w:pPr>
        <w:snapToGrid w:val="0"/>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招标编号：</w:t>
      </w:r>
      <w:r w:rsidRPr="00A12FDC">
        <w:rPr>
          <w:rFonts w:asciiTheme="minorEastAsia" w:eastAsiaTheme="minorEastAsia" w:hAnsiTheme="minorEastAsia" w:hint="eastAsia"/>
          <w:sz w:val="24"/>
          <w:szCs w:val="24"/>
          <w:u w:val="single"/>
        </w:rPr>
        <w:t xml:space="preserve">                                </w:t>
      </w:r>
    </w:p>
    <w:p w:rsidR="00214B78" w:rsidRPr="00A12FDC" w:rsidRDefault="00214B78" w:rsidP="00214B78">
      <w:pPr>
        <w:snapToGrid w:val="0"/>
        <w:spacing w:line="360" w:lineRule="auto"/>
        <w:ind w:right="480"/>
        <w:jc w:val="right"/>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468"/>
        <w:gridCol w:w="4322"/>
      </w:tblGrid>
      <w:tr w:rsidR="00214B78" w:rsidRPr="00A12FDC" w:rsidTr="00FF2278">
        <w:tc>
          <w:tcPr>
            <w:tcW w:w="4468" w:type="dxa"/>
            <w:tcBorders>
              <w:top w:val="single" w:sz="4" w:space="0" w:color="auto"/>
              <w:left w:val="single" w:sz="4" w:space="0" w:color="auto"/>
              <w:bottom w:val="single" w:sz="4" w:space="0" w:color="auto"/>
              <w:right w:val="single" w:sz="4" w:space="0" w:color="auto"/>
            </w:tcBorders>
            <w:vAlign w:val="center"/>
          </w:tcPr>
          <w:p w:rsidR="00214B78" w:rsidRPr="00A12FDC" w:rsidRDefault="00214B78" w:rsidP="00FF2278">
            <w:pPr>
              <w:spacing w:line="36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项目名称</w:t>
            </w:r>
          </w:p>
        </w:tc>
        <w:tc>
          <w:tcPr>
            <w:tcW w:w="4322" w:type="dxa"/>
            <w:tcBorders>
              <w:top w:val="single" w:sz="4" w:space="0" w:color="auto"/>
              <w:left w:val="single" w:sz="4" w:space="0" w:color="auto"/>
              <w:bottom w:val="single" w:sz="4" w:space="0" w:color="auto"/>
              <w:right w:val="single" w:sz="4" w:space="0" w:color="auto"/>
            </w:tcBorders>
            <w:vAlign w:val="center"/>
          </w:tcPr>
          <w:p w:rsidR="00214B78" w:rsidRPr="00A12FDC" w:rsidRDefault="00214B78" w:rsidP="00FF2278">
            <w:pPr>
              <w:spacing w:line="36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投标价（元）</w:t>
            </w:r>
          </w:p>
        </w:tc>
      </w:tr>
      <w:tr w:rsidR="00214B78" w:rsidRPr="00A12FDC" w:rsidTr="00FF2278">
        <w:trPr>
          <w:trHeight w:val="802"/>
        </w:trPr>
        <w:tc>
          <w:tcPr>
            <w:tcW w:w="4468" w:type="dxa"/>
            <w:tcBorders>
              <w:top w:val="single" w:sz="4" w:space="0" w:color="auto"/>
              <w:left w:val="single" w:sz="4" w:space="0" w:color="auto"/>
              <w:bottom w:val="single" w:sz="4" w:space="0" w:color="auto"/>
              <w:right w:val="single" w:sz="4" w:space="0" w:color="auto"/>
            </w:tcBorders>
            <w:vAlign w:val="center"/>
          </w:tcPr>
          <w:p w:rsidR="00214B78" w:rsidRPr="00A12FDC" w:rsidRDefault="00214B78" w:rsidP="00FF2278">
            <w:pPr>
              <w:pStyle w:val="a6"/>
              <w:tabs>
                <w:tab w:val="clear" w:pos="720"/>
              </w:tabs>
              <w:snapToGrid w:val="0"/>
              <w:spacing w:line="500" w:lineRule="atLeast"/>
              <w:ind w:left="0" w:firstLine="0"/>
              <w:jc w:val="center"/>
              <w:rPr>
                <w:rFonts w:asciiTheme="minorEastAsia" w:hAnsiTheme="minorEastAsia"/>
                <w:sz w:val="24"/>
                <w:szCs w:val="24"/>
              </w:rPr>
            </w:pPr>
          </w:p>
        </w:tc>
        <w:tc>
          <w:tcPr>
            <w:tcW w:w="4322" w:type="dxa"/>
            <w:tcBorders>
              <w:top w:val="single" w:sz="4" w:space="0" w:color="auto"/>
              <w:left w:val="single" w:sz="4" w:space="0" w:color="auto"/>
              <w:bottom w:val="single" w:sz="4" w:space="0" w:color="auto"/>
              <w:right w:val="single" w:sz="4" w:space="0" w:color="auto"/>
            </w:tcBorders>
            <w:vAlign w:val="center"/>
          </w:tcPr>
          <w:p w:rsidR="00214B78" w:rsidRPr="00A12FDC" w:rsidRDefault="00214B78" w:rsidP="00FF2278">
            <w:pPr>
              <w:spacing w:line="360" w:lineRule="auto"/>
              <w:jc w:val="center"/>
              <w:rPr>
                <w:rFonts w:asciiTheme="minorEastAsia" w:eastAsiaTheme="minorEastAsia" w:hAnsiTheme="minorEastAsia"/>
                <w:sz w:val="24"/>
                <w:szCs w:val="24"/>
              </w:rPr>
            </w:pPr>
          </w:p>
        </w:tc>
      </w:tr>
    </w:tbl>
    <w:p w:rsidR="00214B78" w:rsidRPr="00A12FDC" w:rsidRDefault="00214B78" w:rsidP="00214B78">
      <w:pPr>
        <w:snapToGrid w:val="0"/>
        <w:spacing w:line="360" w:lineRule="auto"/>
        <w:jc w:val="right"/>
        <w:rPr>
          <w:rFonts w:asciiTheme="minorEastAsia" w:eastAsiaTheme="minorEastAsia" w:hAnsiTheme="minorEastAsia"/>
          <w:sz w:val="24"/>
          <w:szCs w:val="24"/>
        </w:rPr>
      </w:pPr>
    </w:p>
    <w:p w:rsidR="00214B78" w:rsidRPr="00A12FDC" w:rsidRDefault="00214B78" w:rsidP="00214B78">
      <w:pPr>
        <w:snapToGrid w:val="0"/>
        <w:spacing w:line="360" w:lineRule="auto"/>
        <w:rPr>
          <w:rFonts w:asciiTheme="minorEastAsia" w:eastAsiaTheme="minorEastAsia" w:hAnsiTheme="minorEastAsia"/>
          <w:sz w:val="24"/>
          <w:szCs w:val="24"/>
        </w:rPr>
      </w:pPr>
    </w:p>
    <w:p w:rsidR="00214B78" w:rsidRPr="00A12FDC" w:rsidRDefault="00214B78" w:rsidP="00214B78">
      <w:pPr>
        <w:snapToGrid w:val="0"/>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法人代表或授权人签字：</w:t>
      </w:r>
      <w:r w:rsidRPr="00A12FDC">
        <w:rPr>
          <w:rFonts w:asciiTheme="minorEastAsia" w:eastAsiaTheme="minorEastAsia" w:hAnsiTheme="minorEastAsia" w:hint="eastAsia"/>
          <w:sz w:val="24"/>
          <w:szCs w:val="24"/>
          <w:u w:val="single"/>
        </w:rPr>
        <w:t xml:space="preserve">                                          </w:t>
      </w:r>
    </w:p>
    <w:p w:rsidR="00214B78" w:rsidRPr="00A12FDC" w:rsidRDefault="00214B78" w:rsidP="00214B78">
      <w:pPr>
        <w:snapToGrid w:val="0"/>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职务：</w:t>
      </w:r>
      <w:r w:rsidRPr="00A12FDC">
        <w:rPr>
          <w:rFonts w:asciiTheme="minorEastAsia" w:eastAsiaTheme="minorEastAsia" w:hAnsiTheme="minorEastAsia" w:hint="eastAsia"/>
          <w:sz w:val="24"/>
          <w:szCs w:val="24"/>
          <w:u w:val="single"/>
        </w:rPr>
        <w:t xml:space="preserve">                       </w:t>
      </w:r>
      <w:r w:rsidRPr="00A12FDC">
        <w:rPr>
          <w:rFonts w:asciiTheme="minorEastAsia" w:eastAsiaTheme="minorEastAsia" w:hAnsiTheme="minorEastAsia" w:hint="eastAsia"/>
          <w:sz w:val="24"/>
          <w:szCs w:val="24"/>
        </w:rPr>
        <w:t xml:space="preserve">    日期：</w:t>
      </w:r>
      <w:r w:rsidRPr="00A12FDC">
        <w:rPr>
          <w:rFonts w:asciiTheme="minorEastAsia" w:eastAsiaTheme="minorEastAsia" w:hAnsiTheme="minorEastAsia" w:hint="eastAsia"/>
          <w:sz w:val="24"/>
          <w:szCs w:val="24"/>
          <w:u w:val="single"/>
        </w:rPr>
        <w:t xml:space="preserve">                   </w:t>
      </w:r>
    </w:p>
    <w:p w:rsidR="00214B78" w:rsidRPr="00A12FDC" w:rsidRDefault="00214B78" w:rsidP="00214B78">
      <w:pPr>
        <w:spacing w:line="500" w:lineRule="exact"/>
        <w:rPr>
          <w:rFonts w:asciiTheme="minorEastAsia" w:eastAsiaTheme="minorEastAsia" w:hAnsiTheme="minorEastAsia"/>
          <w:b/>
          <w:color w:val="000000"/>
          <w:spacing w:val="-6"/>
          <w:sz w:val="24"/>
          <w:szCs w:val="24"/>
        </w:rPr>
      </w:pPr>
      <w:r w:rsidRPr="00A12FDC">
        <w:rPr>
          <w:rFonts w:asciiTheme="minorEastAsia" w:eastAsiaTheme="minorEastAsia" w:hAnsiTheme="minorEastAsia" w:cs="仿宋_GB2312" w:hint="eastAsia"/>
          <w:b/>
          <w:bCs/>
          <w:sz w:val="24"/>
          <w:szCs w:val="24"/>
          <w:lang w:val="zh-CN"/>
        </w:rPr>
        <w:t>注：项目总价</w:t>
      </w:r>
      <w:r w:rsidRPr="00A12FDC">
        <w:rPr>
          <w:rFonts w:asciiTheme="minorEastAsia" w:eastAsiaTheme="minorEastAsia" w:hAnsiTheme="minorEastAsia" w:hint="eastAsia"/>
          <w:b/>
          <w:color w:val="000000"/>
          <w:spacing w:val="-6"/>
          <w:sz w:val="24"/>
          <w:szCs w:val="24"/>
        </w:rPr>
        <w:t>包括该项目期间内的所有费用：产品设计、制造、运输、安装、保修、检验、验收、管理费用、不可预见费用、利润、税金等各项费用总和。</w:t>
      </w: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rPr>
          <w:rFonts w:asciiTheme="minorEastAsia" w:eastAsiaTheme="minorEastAsia" w:hAnsiTheme="minorEastAsia"/>
          <w:b/>
          <w:sz w:val="24"/>
          <w:szCs w:val="24"/>
        </w:rPr>
      </w:pPr>
    </w:p>
    <w:p w:rsidR="00214B78" w:rsidRPr="00A12FDC"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A12FDC">
        <w:rPr>
          <w:rFonts w:asciiTheme="minorEastAsia" w:eastAsiaTheme="minorEastAsia" w:hAnsiTheme="minorEastAsia"/>
          <w:b w:val="0"/>
        </w:rPr>
        <w:br w:type="page"/>
      </w:r>
      <w:r w:rsidRPr="00A12FDC">
        <w:rPr>
          <w:rFonts w:asciiTheme="minorEastAsia" w:eastAsiaTheme="minorEastAsia" w:hAnsiTheme="minorEastAsia" w:hint="eastAsia"/>
        </w:rPr>
        <w:lastRenderedPageBreak/>
        <w:t>附件四：</w:t>
      </w:r>
    </w:p>
    <w:p w:rsidR="00214B78" w:rsidRPr="00A12FDC" w:rsidRDefault="00214B78" w:rsidP="00FB3FD1">
      <w:pPr>
        <w:spacing w:afterLines="50" w:line="520" w:lineRule="exact"/>
        <w:jc w:val="center"/>
        <w:rPr>
          <w:rFonts w:asciiTheme="minorEastAsia" w:eastAsiaTheme="minorEastAsia" w:hAnsiTheme="minorEastAsia"/>
          <w:b/>
          <w:bCs/>
          <w:color w:val="000000"/>
          <w:sz w:val="24"/>
          <w:szCs w:val="24"/>
        </w:rPr>
      </w:pPr>
      <w:r w:rsidRPr="00A12FDC">
        <w:rPr>
          <w:rFonts w:asciiTheme="minorEastAsia" w:eastAsiaTheme="minorEastAsia" w:hAnsiTheme="minorEastAsia" w:hint="eastAsia"/>
          <w:b/>
          <w:bCs/>
          <w:color w:val="000000"/>
          <w:sz w:val="24"/>
          <w:szCs w:val="24"/>
        </w:rPr>
        <w:t>分项报价清单</w:t>
      </w:r>
    </w:p>
    <w:tbl>
      <w:tblPr>
        <w:tblpPr w:leftFromText="180" w:rightFromText="180" w:vertAnchor="text" w:horzAnchor="page" w:tblpX="1013" w:tblpY="203"/>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1701"/>
        <w:gridCol w:w="1162"/>
        <w:gridCol w:w="1185"/>
        <w:gridCol w:w="1338"/>
        <w:gridCol w:w="1976"/>
      </w:tblGrid>
      <w:tr w:rsidR="00214B78" w:rsidRPr="00A12FDC" w:rsidTr="00B11960">
        <w:trPr>
          <w:cantSplit/>
        </w:trPr>
        <w:tc>
          <w:tcPr>
            <w:tcW w:w="534"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序号</w:t>
            </w:r>
          </w:p>
        </w:tc>
        <w:tc>
          <w:tcPr>
            <w:tcW w:w="1134"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名称</w:t>
            </w:r>
          </w:p>
        </w:tc>
        <w:tc>
          <w:tcPr>
            <w:tcW w:w="1559" w:type="dxa"/>
            <w:vAlign w:val="center"/>
          </w:tcPr>
          <w:p w:rsidR="00214B78" w:rsidRPr="00A12FDC" w:rsidRDefault="00B11960" w:rsidP="00B11960">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品牌、型号</w:t>
            </w:r>
          </w:p>
        </w:tc>
        <w:tc>
          <w:tcPr>
            <w:tcW w:w="1701"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数量及单位</w:t>
            </w:r>
          </w:p>
        </w:tc>
        <w:tc>
          <w:tcPr>
            <w:tcW w:w="1162"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单价</w:t>
            </w:r>
          </w:p>
          <w:p w:rsidR="00214B78" w:rsidRPr="00A12FDC" w:rsidRDefault="00214B78" w:rsidP="00FF2278">
            <w:pPr>
              <w:spacing w:line="0" w:lineRule="atLeast"/>
              <w:jc w:val="center"/>
              <w:rPr>
                <w:rFonts w:asciiTheme="minorEastAsia" w:eastAsiaTheme="minorEastAsia" w:hAnsiTheme="minorEastAsia"/>
                <w:sz w:val="24"/>
                <w:szCs w:val="24"/>
              </w:rPr>
            </w:pPr>
            <w:r w:rsidRPr="00A12FDC">
              <w:rPr>
                <w:rFonts w:asciiTheme="minorEastAsia" w:eastAsiaTheme="minorEastAsia" w:hAnsiTheme="minorEastAsia" w:hint="eastAsia"/>
                <w:w w:val="80"/>
                <w:sz w:val="24"/>
                <w:szCs w:val="24"/>
              </w:rPr>
              <w:t>（元）</w:t>
            </w:r>
          </w:p>
        </w:tc>
        <w:tc>
          <w:tcPr>
            <w:tcW w:w="1185"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总价</w:t>
            </w:r>
          </w:p>
          <w:p w:rsidR="00214B78" w:rsidRPr="00A12FDC" w:rsidRDefault="00214B78" w:rsidP="00FF2278">
            <w:pPr>
              <w:spacing w:line="0" w:lineRule="atLeast"/>
              <w:jc w:val="center"/>
              <w:rPr>
                <w:rFonts w:asciiTheme="minorEastAsia" w:eastAsiaTheme="minorEastAsia" w:hAnsiTheme="minorEastAsia"/>
                <w:sz w:val="24"/>
                <w:szCs w:val="24"/>
              </w:rPr>
            </w:pPr>
            <w:r w:rsidRPr="00A12FDC">
              <w:rPr>
                <w:rFonts w:asciiTheme="minorEastAsia" w:eastAsiaTheme="minorEastAsia" w:hAnsiTheme="minorEastAsia" w:hint="eastAsia"/>
                <w:w w:val="80"/>
                <w:sz w:val="24"/>
                <w:szCs w:val="24"/>
              </w:rPr>
              <w:t>（元）</w:t>
            </w:r>
          </w:p>
        </w:tc>
        <w:tc>
          <w:tcPr>
            <w:tcW w:w="1338"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交货期</w:t>
            </w:r>
          </w:p>
        </w:tc>
        <w:tc>
          <w:tcPr>
            <w:tcW w:w="1976"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备注</w:t>
            </w:r>
          </w:p>
        </w:tc>
      </w:tr>
      <w:tr w:rsidR="00214B78" w:rsidRPr="00A12FDC" w:rsidTr="00B11960">
        <w:trPr>
          <w:cantSplit/>
          <w:trHeight w:val="565"/>
        </w:trPr>
        <w:tc>
          <w:tcPr>
            <w:tcW w:w="534" w:type="dxa"/>
            <w:vAlign w:val="center"/>
          </w:tcPr>
          <w:p w:rsidR="00214B78" w:rsidRPr="00A12FDC" w:rsidRDefault="00214B78" w:rsidP="00FF2278">
            <w:pPr>
              <w:tabs>
                <w:tab w:val="num" w:pos="930"/>
              </w:tabs>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1</w:t>
            </w:r>
          </w:p>
        </w:tc>
        <w:tc>
          <w:tcPr>
            <w:tcW w:w="1134"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c>
          <w:tcPr>
            <w:tcW w:w="1559" w:type="dxa"/>
            <w:vAlign w:val="center"/>
          </w:tcPr>
          <w:p w:rsidR="00214B78" w:rsidRPr="00A12FDC" w:rsidRDefault="00214B78" w:rsidP="00FF2278">
            <w:pPr>
              <w:spacing w:line="300" w:lineRule="auto"/>
              <w:jc w:val="center"/>
              <w:rPr>
                <w:rFonts w:asciiTheme="minorEastAsia" w:eastAsiaTheme="minorEastAsia" w:hAnsiTheme="minorEastAsia"/>
                <w:b/>
                <w:sz w:val="24"/>
                <w:szCs w:val="24"/>
              </w:rPr>
            </w:pPr>
          </w:p>
        </w:tc>
        <w:tc>
          <w:tcPr>
            <w:tcW w:w="1701" w:type="dxa"/>
            <w:vAlign w:val="center"/>
          </w:tcPr>
          <w:p w:rsidR="00214B78" w:rsidRPr="00A12FDC" w:rsidRDefault="00214B78" w:rsidP="00FF2278">
            <w:pPr>
              <w:pStyle w:val="xiaob"/>
              <w:spacing w:line="300" w:lineRule="auto"/>
              <w:rPr>
                <w:rFonts w:asciiTheme="minorEastAsia" w:eastAsiaTheme="minorEastAsia" w:hAnsiTheme="minorEastAsia"/>
              </w:rPr>
            </w:pPr>
          </w:p>
        </w:tc>
        <w:tc>
          <w:tcPr>
            <w:tcW w:w="1162"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A12FDC" w:rsidRDefault="00214B78" w:rsidP="00FF2278">
            <w:pPr>
              <w:tabs>
                <w:tab w:val="left" w:pos="267"/>
              </w:tabs>
              <w:spacing w:line="300" w:lineRule="auto"/>
              <w:jc w:val="left"/>
              <w:rPr>
                <w:rFonts w:asciiTheme="minorEastAsia" w:eastAsiaTheme="minorEastAsia" w:hAnsiTheme="minorEastAsia"/>
                <w:sz w:val="24"/>
                <w:szCs w:val="24"/>
              </w:rPr>
            </w:pPr>
          </w:p>
        </w:tc>
      </w:tr>
      <w:tr w:rsidR="00214B78" w:rsidRPr="00A12FDC" w:rsidTr="00B11960">
        <w:trPr>
          <w:cantSplit/>
          <w:trHeight w:val="565"/>
        </w:trPr>
        <w:tc>
          <w:tcPr>
            <w:tcW w:w="534" w:type="dxa"/>
            <w:vAlign w:val="center"/>
          </w:tcPr>
          <w:p w:rsidR="00214B78" w:rsidRPr="00A12FDC" w:rsidRDefault="00214B78" w:rsidP="00FF2278">
            <w:pPr>
              <w:tabs>
                <w:tab w:val="num" w:pos="930"/>
              </w:tabs>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2</w:t>
            </w:r>
          </w:p>
        </w:tc>
        <w:tc>
          <w:tcPr>
            <w:tcW w:w="1134"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c>
          <w:tcPr>
            <w:tcW w:w="1559" w:type="dxa"/>
            <w:vAlign w:val="center"/>
          </w:tcPr>
          <w:p w:rsidR="00214B78" w:rsidRPr="00A12FDC" w:rsidRDefault="00214B78" w:rsidP="00FF2278">
            <w:pPr>
              <w:spacing w:line="300" w:lineRule="auto"/>
              <w:jc w:val="center"/>
              <w:rPr>
                <w:rFonts w:asciiTheme="minorEastAsia" w:eastAsiaTheme="minorEastAsia" w:hAnsiTheme="minorEastAsia"/>
                <w:b/>
                <w:sz w:val="24"/>
                <w:szCs w:val="24"/>
              </w:rPr>
            </w:pPr>
          </w:p>
        </w:tc>
        <w:tc>
          <w:tcPr>
            <w:tcW w:w="1701" w:type="dxa"/>
            <w:vAlign w:val="center"/>
          </w:tcPr>
          <w:p w:rsidR="00214B78" w:rsidRPr="00A12FDC" w:rsidRDefault="00214B78" w:rsidP="00FF2278">
            <w:pPr>
              <w:pStyle w:val="xiaob"/>
              <w:spacing w:line="300" w:lineRule="auto"/>
              <w:rPr>
                <w:rFonts w:asciiTheme="minorEastAsia" w:eastAsiaTheme="minorEastAsia" w:hAnsiTheme="minorEastAsia"/>
              </w:rPr>
            </w:pPr>
          </w:p>
        </w:tc>
        <w:tc>
          <w:tcPr>
            <w:tcW w:w="1162"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A12FDC" w:rsidRDefault="00214B78" w:rsidP="00FF2278">
            <w:pPr>
              <w:tabs>
                <w:tab w:val="left" w:pos="267"/>
              </w:tabs>
              <w:spacing w:line="300" w:lineRule="auto"/>
              <w:jc w:val="left"/>
              <w:rPr>
                <w:rFonts w:asciiTheme="minorEastAsia" w:eastAsiaTheme="minorEastAsia" w:hAnsiTheme="minorEastAsia"/>
                <w:spacing w:val="-17"/>
                <w:w w:val="90"/>
                <w:sz w:val="24"/>
                <w:szCs w:val="24"/>
              </w:rPr>
            </w:pPr>
          </w:p>
        </w:tc>
      </w:tr>
      <w:tr w:rsidR="00214B78" w:rsidRPr="00A12FDC" w:rsidTr="00B11960">
        <w:trPr>
          <w:cantSplit/>
          <w:trHeight w:val="517"/>
        </w:trPr>
        <w:tc>
          <w:tcPr>
            <w:tcW w:w="534"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3</w:t>
            </w:r>
          </w:p>
        </w:tc>
        <w:tc>
          <w:tcPr>
            <w:tcW w:w="1134"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559"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701"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162"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185"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c>
          <w:tcPr>
            <w:tcW w:w="1338"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c>
          <w:tcPr>
            <w:tcW w:w="1976" w:type="dxa"/>
            <w:vAlign w:val="center"/>
          </w:tcPr>
          <w:p w:rsidR="00214B78" w:rsidRPr="00A12FDC" w:rsidRDefault="00214B78" w:rsidP="00FF2278">
            <w:pPr>
              <w:spacing w:line="300" w:lineRule="auto"/>
              <w:jc w:val="center"/>
              <w:rPr>
                <w:rFonts w:asciiTheme="minorEastAsia" w:eastAsiaTheme="minorEastAsia" w:hAnsiTheme="minorEastAsia"/>
                <w:sz w:val="24"/>
                <w:szCs w:val="24"/>
              </w:rPr>
            </w:pPr>
          </w:p>
        </w:tc>
      </w:tr>
      <w:tr w:rsidR="00214B78" w:rsidRPr="00A12FDC" w:rsidTr="00B11960">
        <w:trPr>
          <w:cantSplit/>
          <w:trHeight w:val="487"/>
        </w:trPr>
        <w:tc>
          <w:tcPr>
            <w:tcW w:w="8613" w:type="dxa"/>
            <w:gridSpan w:val="7"/>
            <w:vAlign w:val="center"/>
          </w:tcPr>
          <w:p w:rsidR="00214B78" w:rsidRPr="00A12FDC" w:rsidRDefault="00214B78" w:rsidP="00FF2278">
            <w:pPr>
              <w:spacing w:line="30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总价</w:t>
            </w:r>
          </w:p>
        </w:tc>
        <w:tc>
          <w:tcPr>
            <w:tcW w:w="1976" w:type="dxa"/>
            <w:vAlign w:val="center"/>
          </w:tcPr>
          <w:p w:rsidR="00214B78" w:rsidRPr="00A12FDC" w:rsidRDefault="00214B78" w:rsidP="00FF2278">
            <w:pPr>
              <w:spacing w:line="0" w:lineRule="atLeast"/>
              <w:jc w:val="center"/>
              <w:rPr>
                <w:rFonts w:asciiTheme="minorEastAsia" w:eastAsiaTheme="minorEastAsia" w:hAnsiTheme="minorEastAsia"/>
                <w:sz w:val="24"/>
                <w:szCs w:val="24"/>
              </w:rPr>
            </w:pPr>
          </w:p>
        </w:tc>
      </w:tr>
    </w:tbl>
    <w:p w:rsidR="00214B78" w:rsidRPr="00A12FDC" w:rsidRDefault="00214B78" w:rsidP="00214B78">
      <w:pPr>
        <w:spacing w:line="30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 xml:space="preserve"> </w:t>
      </w:r>
    </w:p>
    <w:p w:rsidR="00214B78" w:rsidRPr="00A12FDC" w:rsidRDefault="00214B78" w:rsidP="00214B78">
      <w:pPr>
        <w:spacing w:line="30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 xml:space="preserve">  报价包括产品及其附件、备品备件、技术资料、指导、人员培训、运输、装卸、保险、包装、配合安装、检验、验收、移交、质保期、供方应交纳的各项税款（增值税及其它税费）等全部费用。</w:t>
      </w:r>
    </w:p>
    <w:p w:rsidR="00214B78" w:rsidRPr="00A12FDC" w:rsidRDefault="00214B78" w:rsidP="00214B78">
      <w:pPr>
        <w:spacing w:line="300" w:lineRule="auto"/>
        <w:ind w:firstLineChars="200" w:firstLine="48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1、投标单位保证提供的产品及其附件、备品备件是全新的、环保的、完整的和安全可靠的、且产品的性能和技术参数必须符合技术文件的规定。</w:t>
      </w:r>
    </w:p>
    <w:p w:rsidR="00214B78" w:rsidRPr="00A12FDC" w:rsidRDefault="00214B78" w:rsidP="00214B78">
      <w:pPr>
        <w:spacing w:line="300" w:lineRule="auto"/>
        <w:ind w:left="2" w:firstLineChars="184" w:firstLine="442"/>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2、产品的详细规格要求等见产品需求。</w:t>
      </w:r>
    </w:p>
    <w:p w:rsidR="00214B78" w:rsidRPr="00A12FDC" w:rsidRDefault="00214B78" w:rsidP="00FB3FD1">
      <w:pPr>
        <w:spacing w:afterLines="50" w:line="520" w:lineRule="exact"/>
        <w:rPr>
          <w:rFonts w:asciiTheme="minorEastAsia" w:eastAsiaTheme="minorEastAsia" w:hAnsiTheme="minorEastAsia"/>
          <w:color w:val="000000"/>
          <w:sz w:val="24"/>
          <w:szCs w:val="24"/>
        </w:rPr>
      </w:pPr>
    </w:p>
    <w:p w:rsidR="00214B78" w:rsidRPr="00A12FDC" w:rsidRDefault="00214B78" w:rsidP="00214B78">
      <w:pPr>
        <w:spacing w:after="100" w:line="520" w:lineRule="exact"/>
        <w:ind w:firstLineChars="1300" w:firstLine="3120"/>
        <w:rPr>
          <w:rFonts w:asciiTheme="minorEastAsia" w:eastAsiaTheme="minorEastAsia" w:hAnsiTheme="minorEastAsia"/>
          <w:color w:val="000000"/>
          <w:sz w:val="24"/>
          <w:szCs w:val="24"/>
        </w:rPr>
      </w:pPr>
      <w:r w:rsidRPr="00A12FDC">
        <w:rPr>
          <w:rFonts w:asciiTheme="minorEastAsia" w:eastAsiaTheme="minorEastAsia" w:hAnsiTheme="minorEastAsia" w:hint="eastAsia"/>
          <w:color w:val="000000"/>
          <w:sz w:val="24"/>
          <w:szCs w:val="24"/>
        </w:rPr>
        <w:t xml:space="preserve">             投标单位：（盖章）</w:t>
      </w:r>
    </w:p>
    <w:p w:rsidR="00214B78" w:rsidRPr="00A12FDC" w:rsidRDefault="00214B78" w:rsidP="00214B78">
      <w:pPr>
        <w:spacing w:after="100" w:line="520" w:lineRule="exact"/>
        <w:ind w:firstLineChars="1300" w:firstLine="3120"/>
        <w:rPr>
          <w:rFonts w:asciiTheme="minorEastAsia" w:eastAsiaTheme="minorEastAsia" w:hAnsiTheme="minorEastAsia"/>
          <w:color w:val="000000"/>
          <w:sz w:val="24"/>
          <w:szCs w:val="24"/>
        </w:rPr>
      </w:pPr>
      <w:r w:rsidRPr="00A12FDC">
        <w:rPr>
          <w:rFonts w:asciiTheme="minorEastAsia" w:eastAsiaTheme="minorEastAsia" w:hAnsiTheme="minorEastAsia" w:hint="eastAsia"/>
          <w:color w:val="000000"/>
          <w:sz w:val="24"/>
          <w:szCs w:val="24"/>
        </w:rPr>
        <w:t xml:space="preserve">             法定代表人或委托代理人：（</w:t>
      </w:r>
      <w:r w:rsidRPr="00A12FDC">
        <w:rPr>
          <w:rFonts w:asciiTheme="minorEastAsia" w:eastAsiaTheme="minorEastAsia" w:hAnsiTheme="minorEastAsia" w:hint="eastAsia"/>
          <w:sz w:val="24"/>
          <w:szCs w:val="24"/>
        </w:rPr>
        <w:t>签字或盖章</w:t>
      </w:r>
      <w:r w:rsidRPr="00A12FDC">
        <w:rPr>
          <w:rFonts w:asciiTheme="minorEastAsia" w:eastAsiaTheme="minorEastAsia" w:hAnsiTheme="minorEastAsia" w:hint="eastAsia"/>
          <w:color w:val="000000"/>
          <w:sz w:val="24"/>
          <w:szCs w:val="24"/>
        </w:rPr>
        <w:t xml:space="preserve">） </w:t>
      </w:r>
    </w:p>
    <w:p w:rsidR="00214B78" w:rsidRPr="00A12FDC" w:rsidRDefault="00214B78" w:rsidP="00FB3FD1">
      <w:pPr>
        <w:spacing w:afterLines="50" w:line="520" w:lineRule="exact"/>
        <w:jc w:val="center"/>
        <w:rPr>
          <w:rFonts w:asciiTheme="minorEastAsia" w:eastAsiaTheme="minorEastAsia" w:hAnsiTheme="minorEastAsia"/>
          <w:color w:val="000000"/>
          <w:sz w:val="24"/>
          <w:szCs w:val="24"/>
        </w:rPr>
        <w:sectPr w:rsidR="00214B78" w:rsidRPr="00A12FDC" w:rsidSect="002845D3">
          <w:pgSz w:w="11906" w:h="16838"/>
          <w:pgMar w:top="1134" w:right="1134" w:bottom="1134" w:left="1134" w:header="851" w:footer="992" w:gutter="0"/>
          <w:cols w:space="720"/>
          <w:docGrid w:type="lines" w:linePitch="312"/>
        </w:sectPr>
      </w:pPr>
      <w:r w:rsidRPr="00A12FDC">
        <w:rPr>
          <w:rFonts w:asciiTheme="minorEastAsia" w:eastAsiaTheme="minorEastAsia" w:hAnsiTheme="minorEastAsia" w:hint="eastAsia"/>
          <w:color w:val="000000"/>
          <w:sz w:val="24"/>
          <w:szCs w:val="24"/>
        </w:rPr>
        <w:t xml:space="preserve">                         日 期：        年   月   日  </w:t>
      </w:r>
    </w:p>
    <w:p w:rsidR="00214B78" w:rsidRPr="00A12FDC"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A12FDC">
        <w:rPr>
          <w:rFonts w:asciiTheme="minorEastAsia" w:eastAsiaTheme="minorEastAsia" w:hAnsiTheme="minorEastAsia" w:hint="eastAsia"/>
        </w:rPr>
        <w:lastRenderedPageBreak/>
        <w:t>附件五：</w:t>
      </w:r>
    </w:p>
    <w:p w:rsidR="00214B78" w:rsidRPr="00A12FDC" w:rsidRDefault="00214B78" w:rsidP="00214B78">
      <w:pPr>
        <w:spacing w:line="360" w:lineRule="auto"/>
        <w:jc w:val="center"/>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产品质量保证、售后服务承诺书</w:t>
      </w: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jc w:val="center"/>
        <w:rPr>
          <w:rFonts w:asciiTheme="minorEastAsia" w:eastAsiaTheme="minorEastAsia" w:hAnsiTheme="minorEastAsia"/>
          <w:b/>
          <w:sz w:val="24"/>
          <w:szCs w:val="24"/>
        </w:rPr>
      </w:pPr>
    </w:p>
    <w:p w:rsidR="00214B78" w:rsidRPr="00A12FDC" w:rsidRDefault="00214B78" w:rsidP="00214B78">
      <w:pPr>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产品质量保证如下：</w:t>
      </w: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ind w:firstLineChars="900" w:firstLine="2160"/>
        <w:rPr>
          <w:rFonts w:asciiTheme="minorEastAsia" w:eastAsiaTheme="minorEastAsia" w:hAnsiTheme="minorEastAsia"/>
          <w:sz w:val="24"/>
          <w:szCs w:val="24"/>
        </w:rPr>
      </w:pPr>
    </w:p>
    <w:p w:rsidR="00214B78" w:rsidRPr="00A12FDC" w:rsidRDefault="00214B78" w:rsidP="00214B78">
      <w:pPr>
        <w:spacing w:line="360" w:lineRule="auto"/>
        <w:ind w:firstLineChars="900" w:firstLine="2160"/>
        <w:rPr>
          <w:rFonts w:asciiTheme="minorEastAsia" w:eastAsiaTheme="minorEastAsia" w:hAnsiTheme="minorEastAsia"/>
          <w:sz w:val="24"/>
          <w:szCs w:val="24"/>
        </w:rPr>
      </w:pPr>
    </w:p>
    <w:p w:rsidR="00214B78" w:rsidRPr="00A12FDC" w:rsidRDefault="00214B78" w:rsidP="00214B78">
      <w:pPr>
        <w:spacing w:line="360" w:lineRule="auto"/>
        <w:ind w:firstLineChars="900" w:firstLine="2160"/>
        <w:rPr>
          <w:rFonts w:asciiTheme="minorEastAsia" w:eastAsiaTheme="minorEastAsia" w:hAnsiTheme="minorEastAsia"/>
          <w:sz w:val="24"/>
          <w:szCs w:val="24"/>
        </w:rPr>
      </w:pPr>
    </w:p>
    <w:p w:rsidR="00214B78" w:rsidRPr="00A12FDC" w:rsidRDefault="00214B78" w:rsidP="00214B78">
      <w:pPr>
        <w:spacing w:line="360" w:lineRule="auto"/>
        <w:ind w:firstLineChars="900" w:firstLine="2160"/>
        <w:rPr>
          <w:rFonts w:asciiTheme="minorEastAsia" w:eastAsiaTheme="minorEastAsia" w:hAnsiTheme="minorEastAsia"/>
          <w:sz w:val="24"/>
          <w:szCs w:val="24"/>
        </w:rPr>
      </w:pPr>
    </w:p>
    <w:p w:rsidR="00214B78" w:rsidRPr="00A12FDC" w:rsidRDefault="00214B78" w:rsidP="00214B78">
      <w:pPr>
        <w:spacing w:line="360" w:lineRule="auto"/>
        <w:ind w:firstLineChars="900" w:firstLine="2160"/>
        <w:rPr>
          <w:rFonts w:asciiTheme="minorEastAsia" w:eastAsiaTheme="minorEastAsia" w:hAnsiTheme="minorEastAsia"/>
          <w:sz w:val="24"/>
          <w:szCs w:val="24"/>
        </w:rPr>
      </w:pPr>
    </w:p>
    <w:p w:rsidR="00214B78" w:rsidRPr="00A12FDC" w:rsidRDefault="00214B78" w:rsidP="00214B78">
      <w:pPr>
        <w:spacing w:line="360" w:lineRule="auto"/>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售后服务承诺如下：</w:t>
      </w: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rPr>
          <w:rFonts w:asciiTheme="minorEastAsia" w:eastAsiaTheme="minorEastAsia" w:hAnsiTheme="minorEastAsia"/>
          <w:sz w:val="24"/>
          <w:szCs w:val="24"/>
        </w:rPr>
      </w:pPr>
    </w:p>
    <w:p w:rsidR="00214B78" w:rsidRPr="00A12FDC" w:rsidRDefault="00214B78" w:rsidP="00214B78">
      <w:pPr>
        <w:spacing w:line="360" w:lineRule="auto"/>
        <w:ind w:firstLineChars="1150" w:firstLine="276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 xml:space="preserve">      投标单位（盖章）：</w:t>
      </w:r>
    </w:p>
    <w:p w:rsidR="00214B78" w:rsidRPr="00A12FDC" w:rsidRDefault="00214B78" w:rsidP="00214B78">
      <w:pPr>
        <w:spacing w:line="360" w:lineRule="auto"/>
        <w:ind w:leftChars="1311" w:left="2753"/>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 xml:space="preserve">      法定代表人或委托代理人（签字或盖章）：</w:t>
      </w:r>
    </w:p>
    <w:p w:rsidR="00214B78" w:rsidRPr="00A12FDC" w:rsidRDefault="00214B78" w:rsidP="00214B78">
      <w:pPr>
        <w:spacing w:line="360" w:lineRule="auto"/>
        <w:ind w:firstLineChars="1150" w:firstLine="2760"/>
        <w:rPr>
          <w:rFonts w:asciiTheme="minorEastAsia" w:eastAsiaTheme="minorEastAsia" w:hAnsiTheme="minorEastAsia"/>
          <w:sz w:val="24"/>
          <w:szCs w:val="24"/>
        </w:rPr>
      </w:pPr>
      <w:r w:rsidRPr="00A12FDC">
        <w:rPr>
          <w:rFonts w:asciiTheme="minorEastAsia" w:eastAsiaTheme="minorEastAsia" w:hAnsiTheme="minorEastAsia" w:hint="eastAsia"/>
          <w:sz w:val="24"/>
          <w:szCs w:val="24"/>
        </w:rPr>
        <w:t xml:space="preserve">      日 期：</w:t>
      </w:r>
    </w:p>
    <w:p w:rsidR="00214B78" w:rsidRPr="00A12FDC" w:rsidRDefault="00214B78" w:rsidP="00214B78">
      <w:pPr>
        <w:jc w:val="center"/>
        <w:rPr>
          <w:rFonts w:asciiTheme="minorEastAsia" w:eastAsiaTheme="minorEastAsia" w:hAnsiTheme="minorEastAsia"/>
          <w:b/>
          <w:sz w:val="24"/>
          <w:szCs w:val="24"/>
        </w:rPr>
      </w:pPr>
    </w:p>
    <w:p w:rsidR="00214B78" w:rsidRPr="00A12FDC" w:rsidRDefault="00214B78" w:rsidP="00214B78">
      <w:pPr>
        <w:autoSpaceDE w:val="0"/>
        <w:autoSpaceDN w:val="0"/>
        <w:adjustRightInd w:val="0"/>
        <w:spacing w:line="360" w:lineRule="auto"/>
        <w:rPr>
          <w:rFonts w:asciiTheme="minorEastAsia" w:eastAsiaTheme="minorEastAsia" w:hAnsiTheme="minorEastAsia"/>
          <w:sz w:val="24"/>
        </w:rPr>
      </w:pPr>
    </w:p>
    <w:p w:rsidR="00214B78" w:rsidRPr="00A12FDC" w:rsidRDefault="00214B78" w:rsidP="00214B78">
      <w:pPr>
        <w:pStyle w:val="6"/>
        <w:numPr>
          <w:ilvl w:val="5"/>
          <w:numId w:val="0"/>
        </w:numPr>
        <w:tabs>
          <w:tab w:val="left" w:pos="425"/>
        </w:tabs>
        <w:snapToGrid w:val="0"/>
        <w:spacing w:before="156" w:line="360" w:lineRule="auto"/>
        <w:ind w:left="130"/>
        <w:jc w:val="left"/>
        <w:rPr>
          <w:rFonts w:asciiTheme="minorEastAsia" w:eastAsiaTheme="minorEastAsia" w:hAnsiTheme="minorEastAsia"/>
        </w:rPr>
      </w:pPr>
      <w:r w:rsidRPr="00A12FDC">
        <w:rPr>
          <w:rFonts w:asciiTheme="minorEastAsia" w:eastAsiaTheme="minorEastAsia" w:hAnsiTheme="minorEastAsia"/>
        </w:rPr>
        <w:br w:type="page"/>
      </w:r>
      <w:r w:rsidRPr="00A12FDC">
        <w:rPr>
          <w:rFonts w:asciiTheme="minorEastAsia" w:eastAsiaTheme="minorEastAsia" w:hAnsiTheme="minorEastAsia" w:hint="eastAsia"/>
        </w:rPr>
        <w:lastRenderedPageBreak/>
        <w:t>附件六：</w:t>
      </w:r>
    </w:p>
    <w:p w:rsidR="00214B78" w:rsidRPr="00A12FDC" w:rsidRDefault="00214B78" w:rsidP="00214B78">
      <w:pPr>
        <w:spacing w:line="360" w:lineRule="auto"/>
        <w:jc w:val="center"/>
        <w:rPr>
          <w:rFonts w:asciiTheme="minorEastAsia" w:eastAsiaTheme="minorEastAsia" w:hAnsiTheme="minorEastAsia"/>
          <w:b/>
          <w:sz w:val="32"/>
          <w:szCs w:val="32"/>
        </w:rPr>
      </w:pPr>
      <w:r w:rsidRPr="00A12FDC">
        <w:rPr>
          <w:rFonts w:asciiTheme="minorEastAsia" w:eastAsiaTheme="minorEastAsia" w:hAnsiTheme="minorEastAsia" w:hint="eastAsia"/>
          <w:b/>
          <w:sz w:val="28"/>
          <w:szCs w:val="28"/>
        </w:rPr>
        <w:t>技术参数偏离表</w:t>
      </w:r>
    </w:p>
    <w:tbl>
      <w:tblPr>
        <w:tblW w:w="0" w:type="auto"/>
        <w:jc w:val="center"/>
        <w:tblLayout w:type="fixed"/>
        <w:tblLook w:val="0000"/>
      </w:tblPr>
      <w:tblGrid>
        <w:gridCol w:w="2411"/>
        <w:gridCol w:w="2158"/>
        <w:gridCol w:w="2100"/>
        <w:gridCol w:w="1488"/>
      </w:tblGrid>
      <w:tr w:rsidR="00214B78" w:rsidRPr="00A12FDC" w:rsidTr="00FF2278">
        <w:trPr>
          <w:trHeight w:val="513"/>
          <w:jc w:val="center"/>
        </w:trPr>
        <w:tc>
          <w:tcPr>
            <w:tcW w:w="2411" w:type="dxa"/>
            <w:tcBorders>
              <w:top w:val="single" w:sz="6" w:space="0" w:color="auto"/>
              <w:left w:val="single" w:sz="6" w:space="0" w:color="auto"/>
              <w:bottom w:val="single" w:sz="6" w:space="0" w:color="auto"/>
              <w:right w:val="single" w:sz="6" w:space="0" w:color="auto"/>
            </w:tcBorders>
            <w:vAlign w:val="bottom"/>
          </w:tcPr>
          <w:p w:rsidR="00214B78" w:rsidRPr="00A12FDC"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A12FDC">
              <w:rPr>
                <w:rFonts w:asciiTheme="minorEastAsia" w:eastAsiaTheme="minorEastAsia" w:hAnsiTheme="minorEastAsia" w:hint="eastAsia"/>
                <w:b/>
                <w:bCs/>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214B78" w:rsidRPr="00A12FDC"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A12FDC">
              <w:rPr>
                <w:rFonts w:asciiTheme="minorEastAsia" w:eastAsiaTheme="minorEastAsia" w:hAnsiTheme="minorEastAsia"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214B78" w:rsidRPr="00A12FDC"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A12FDC">
              <w:rPr>
                <w:rFonts w:asciiTheme="minorEastAsia" w:eastAsiaTheme="minorEastAsia" w:hAnsiTheme="minorEastAsia"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214B78" w:rsidRPr="00A12FDC" w:rsidRDefault="00214B78" w:rsidP="00FF2278">
            <w:pPr>
              <w:keepNext/>
              <w:autoSpaceDE w:val="0"/>
              <w:autoSpaceDN w:val="0"/>
              <w:adjustRightInd w:val="0"/>
              <w:snapToGrid w:val="0"/>
              <w:spacing w:line="360" w:lineRule="auto"/>
              <w:jc w:val="center"/>
              <w:rPr>
                <w:rFonts w:asciiTheme="minorEastAsia" w:eastAsiaTheme="minorEastAsia" w:hAnsiTheme="minorEastAsia"/>
                <w:b/>
                <w:bCs/>
                <w:szCs w:val="21"/>
                <w:lang w:val="zh-CN"/>
              </w:rPr>
            </w:pPr>
            <w:r w:rsidRPr="00A12FDC">
              <w:rPr>
                <w:rFonts w:asciiTheme="minorEastAsia" w:eastAsiaTheme="minorEastAsia" w:hAnsiTheme="minorEastAsia" w:hint="eastAsia"/>
                <w:b/>
                <w:bCs/>
                <w:szCs w:val="21"/>
                <w:lang w:val="zh-CN"/>
              </w:rPr>
              <w:t>偏离值</w:t>
            </w:r>
          </w:p>
        </w:tc>
      </w:tr>
      <w:tr w:rsidR="00214B78" w:rsidRPr="00A12FDC" w:rsidTr="00FF2278">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r w:rsidR="00214B78" w:rsidRPr="00A12FDC" w:rsidTr="00FF2278">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214B78" w:rsidRPr="00A12FDC" w:rsidRDefault="00214B78" w:rsidP="00FF2278">
            <w:pPr>
              <w:autoSpaceDE w:val="0"/>
              <w:autoSpaceDN w:val="0"/>
              <w:adjustRightInd w:val="0"/>
              <w:snapToGrid w:val="0"/>
              <w:spacing w:line="360" w:lineRule="auto"/>
              <w:rPr>
                <w:rFonts w:asciiTheme="minorEastAsia" w:eastAsiaTheme="minorEastAsia" w:hAnsiTheme="minorEastAsia"/>
                <w:szCs w:val="21"/>
                <w:lang w:val="zh-CN"/>
              </w:rPr>
            </w:pPr>
          </w:p>
        </w:tc>
      </w:tr>
    </w:tbl>
    <w:p w:rsidR="00214B78" w:rsidRPr="00A12FDC" w:rsidRDefault="00214B78" w:rsidP="00214B78">
      <w:pPr>
        <w:widowControl/>
        <w:snapToGrid w:val="0"/>
        <w:spacing w:line="360" w:lineRule="auto"/>
        <w:rPr>
          <w:rFonts w:asciiTheme="minorEastAsia" w:eastAsiaTheme="minorEastAsia" w:hAnsiTheme="minorEastAsia" w:cs="Arial"/>
          <w:kern w:val="0"/>
          <w:szCs w:val="21"/>
        </w:rPr>
      </w:pPr>
      <w:r w:rsidRPr="00A12FDC">
        <w:rPr>
          <w:rFonts w:asciiTheme="minorEastAsia" w:eastAsiaTheme="minorEastAsia" w:hAnsiTheme="minorEastAsia" w:cs="Arial" w:hint="eastAsia"/>
          <w:kern w:val="0"/>
          <w:szCs w:val="21"/>
        </w:rPr>
        <w:t>供应商名称（公章）：</w:t>
      </w:r>
    </w:p>
    <w:p w:rsidR="00214B78" w:rsidRPr="00A12FDC" w:rsidRDefault="00214B78" w:rsidP="00214B78">
      <w:pPr>
        <w:snapToGrid w:val="0"/>
        <w:spacing w:line="360" w:lineRule="auto"/>
        <w:rPr>
          <w:rFonts w:asciiTheme="minorEastAsia" w:eastAsiaTheme="minorEastAsia" w:hAnsiTheme="minorEastAsia"/>
          <w:szCs w:val="21"/>
        </w:rPr>
      </w:pPr>
      <w:r w:rsidRPr="00A12FDC">
        <w:rPr>
          <w:rFonts w:asciiTheme="minorEastAsia" w:eastAsiaTheme="minorEastAsia" w:hAnsiTheme="minorEastAsia" w:hint="eastAsia"/>
          <w:szCs w:val="21"/>
        </w:rPr>
        <w:t>法定代表人或代理人（签字或盖章）：</w:t>
      </w:r>
    </w:p>
    <w:p w:rsidR="00214B78" w:rsidRPr="00A12FDC" w:rsidRDefault="00214B78" w:rsidP="00214B78">
      <w:pPr>
        <w:snapToGrid w:val="0"/>
        <w:spacing w:line="360" w:lineRule="auto"/>
        <w:rPr>
          <w:rFonts w:asciiTheme="minorEastAsia" w:eastAsiaTheme="minorEastAsia" w:hAnsiTheme="minorEastAsia"/>
          <w:szCs w:val="21"/>
        </w:rPr>
      </w:pPr>
    </w:p>
    <w:p w:rsidR="00214B78" w:rsidRPr="00A12FDC" w:rsidRDefault="00214B78" w:rsidP="00214B78">
      <w:pPr>
        <w:adjustRightInd w:val="0"/>
        <w:snapToGrid w:val="0"/>
        <w:spacing w:line="360" w:lineRule="auto"/>
        <w:rPr>
          <w:rFonts w:asciiTheme="minorEastAsia" w:eastAsiaTheme="minorEastAsia" w:hAnsiTheme="minorEastAsia"/>
          <w:color w:val="FF0000"/>
          <w:szCs w:val="21"/>
        </w:rPr>
      </w:pPr>
      <w:r w:rsidRPr="00A12FDC">
        <w:rPr>
          <w:rFonts w:asciiTheme="minorEastAsia" w:eastAsiaTheme="minorEastAsia" w:hAnsiTheme="minorEastAsia" w:hint="eastAsia"/>
          <w:szCs w:val="21"/>
        </w:rPr>
        <w:t>注：</w:t>
      </w:r>
      <w:r w:rsidRPr="00A12FDC">
        <w:rPr>
          <w:rFonts w:asciiTheme="minorEastAsia" w:eastAsiaTheme="minorEastAsia" w:hAnsiTheme="minorEastAsia" w:hint="eastAsia"/>
          <w:szCs w:val="21"/>
          <w:lang w:val="zh-CN"/>
        </w:rPr>
        <w:t>请各位供应商按照以下表格形式逐项应答配置要求内容，在</w:t>
      </w:r>
      <w:r w:rsidRPr="00A12FDC">
        <w:rPr>
          <w:rFonts w:asciiTheme="minorEastAsia" w:eastAsiaTheme="minorEastAsia" w:hAnsiTheme="minorEastAsia" w:hint="eastAsia"/>
          <w:szCs w:val="21"/>
        </w:rPr>
        <w:t>偏离值一栏内如实填写“无偏离、正偏离或负偏离”，货物类项目提供投标产品的彩页/样本/技术资料等。</w:t>
      </w:r>
    </w:p>
    <w:p w:rsidR="00214B78" w:rsidRPr="00A12FDC" w:rsidRDefault="00214B78" w:rsidP="00214B78">
      <w:pPr>
        <w:autoSpaceDE w:val="0"/>
        <w:autoSpaceDN w:val="0"/>
        <w:adjustRightInd w:val="0"/>
        <w:spacing w:line="360" w:lineRule="auto"/>
        <w:rPr>
          <w:rFonts w:asciiTheme="minorEastAsia" w:eastAsiaTheme="minorEastAsia" w:hAnsiTheme="minorEastAsia"/>
          <w:sz w:val="24"/>
        </w:rPr>
      </w:pPr>
    </w:p>
    <w:p w:rsidR="002A3D4B" w:rsidRPr="00A12FDC" w:rsidRDefault="002A3D4B">
      <w:pPr>
        <w:rPr>
          <w:rFonts w:asciiTheme="minorEastAsia" w:eastAsiaTheme="minorEastAsia" w:hAnsiTheme="minorEastAsia"/>
        </w:rPr>
      </w:pPr>
    </w:p>
    <w:sectPr w:rsidR="002A3D4B" w:rsidRPr="00A12FDC" w:rsidSect="00135374">
      <w:footerReference w:type="even" r:id="rId7"/>
      <w:footerReference w:type="default" r:id="rId8"/>
      <w:pgSz w:w="11906" w:h="16838" w:code="9"/>
      <w:pgMar w:top="1440" w:right="924" w:bottom="1440" w:left="1259"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966" w:rsidRDefault="00216966" w:rsidP="00214B78">
      <w:r>
        <w:separator/>
      </w:r>
    </w:p>
  </w:endnote>
  <w:endnote w:type="continuationSeparator" w:id="1">
    <w:p w:rsidR="00216966" w:rsidRDefault="00216966" w:rsidP="00214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简">
    <w:altName w:val="Arial Unicode MS"/>
    <w:charset w:val="86"/>
    <w:family w:val="auto"/>
    <w:pitch w:val="default"/>
    <w:sig w:usb0="00000000" w:usb1="0800004A" w:usb2="00000000" w:usb3="00000000" w:csb0="203E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09" w:rsidRDefault="004778D3" w:rsidP="00135374">
    <w:pPr>
      <w:pStyle w:val="a4"/>
      <w:framePr w:wrap="around" w:vAnchor="text" w:hAnchor="margin" w:xAlign="center" w:y="1"/>
      <w:rPr>
        <w:rStyle w:val="a5"/>
      </w:rPr>
    </w:pPr>
    <w:r>
      <w:rPr>
        <w:rStyle w:val="a5"/>
      </w:rPr>
      <w:fldChar w:fldCharType="begin"/>
    </w:r>
    <w:r w:rsidR="002A3D4B">
      <w:rPr>
        <w:rStyle w:val="a5"/>
      </w:rPr>
      <w:instrText xml:space="preserve">PAGE  </w:instrText>
    </w:r>
    <w:r>
      <w:rPr>
        <w:rStyle w:val="a5"/>
      </w:rPr>
      <w:fldChar w:fldCharType="end"/>
    </w:r>
  </w:p>
  <w:p w:rsidR="00962609" w:rsidRDefault="002169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09" w:rsidRDefault="004778D3" w:rsidP="00135374">
    <w:pPr>
      <w:pStyle w:val="a4"/>
      <w:framePr w:wrap="around" w:vAnchor="text" w:hAnchor="margin" w:xAlign="center" w:y="1"/>
      <w:rPr>
        <w:rStyle w:val="a5"/>
      </w:rPr>
    </w:pPr>
    <w:r>
      <w:rPr>
        <w:rStyle w:val="a5"/>
      </w:rPr>
      <w:fldChar w:fldCharType="begin"/>
    </w:r>
    <w:r w:rsidR="002A3D4B">
      <w:rPr>
        <w:rStyle w:val="a5"/>
      </w:rPr>
      <w:instrText xml:space="preserve">PAGE  </w:instrText>
    </w:r>
    <w:r>
      <w:rPr>
        <w:rStyle w:val="a5"/>
      </w:rPr>
      <w:fldChar w:fldCharType="separate"/>
    </w:r>
    <w:r w:rsidR="00FB3FD1">
      <w:rPr>
        <w:rStyle w:val="a5"/>
        <w:noProof/>
      </w:rPr>
      <w:t>10</w:t>
    </w:r>
    <w:r>
      <w:rPr>
        <w:rStyle w:val="a5"/>
      </w:rPr>
      <w:fldChar w:fldCharType="end"/>
    </w:r>
  </w:p>
  <w:p w:rsidR="00962609" w:rsidRDefault="002169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966" w:rsidRDefault="00216966" w:rsidP="00214B78">
      <w:r>
        <w:separator/>
      </w:r>
    </w:p>
  </w:footnote>
  <w:footnote w:type="continuationSeparator" w:id="1">
    <w:p w:rsidR="00216966" w:rsidRDefault="00216966" w:rsidP="00214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7F13"/>
    <w:multiLevelType w:val="hybridMultilevel"/>
    <w:tmpl w:val="2AD0D4CC"/>
    <w:lvl w:ilvl="0" w:tplc="239212F8">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pStyle w:val="6"/>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1DAD3706"/>
    <w:multiLevelType w:val="multilevel"/>
    <w:tmpl w:val="1DAD3706"/>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485C450F"/>
    <w:multiLevelType w:val="multilevel"/>
    <w:tmpl w:val="30DE2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DEEE7F"/>
    <w:multiLevelType w:val="singleLevel"/>
    <w:tmpl w:val="5EDEEE7F"/>
    <w:lvl w:ilvl="0">
      <w:start w:val="1"/>
      <w:numFmt w:val="chineseCounting"/>
      <w:suff w:val="nothing"/>
      <w:lvlText w:val="%1、"/>
      <w:lvlJc w:val="left"/>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B78"/>
    <w:rsid w:val="000442DC"/>
    <w:rsid w:val="00081C9C"/>
    <w:rsid w:val="00105BDF"/>
    <w:rsid w:val="00214B78"/>
    <w:rsid w:val="00216966"/>
    <w:rsid w:val="00263F23"/>
    <w:rsid w:val="002A3D4B"/>
    <w:rsid w:val="002B609C"/>
    <w:rsid w:val="004778D3"/>
    <w:rsid w:val="005C0BDF"/>
    <w:rsid w:val="00635A8E"/>
    <w:rsid w:val="00784EF5"/>
    <w:rsid w:val="00806478"/>
    <w:rsid w:val="008F4BC8"/>
    <w:rsid w:val="008F6D00"/>
    <w:rsid w:val="00A12FDC"/>
    <w:rsid w:val="00B11960"/>
    <w:rsid w:val="00B362FE"/>
    <w:rsid w:val="00B70EC6"/>
    <w:rsid w:val="00BA599C"/>
    <w:rsid w:val="00BE445F"/>
    <w:rsid w:val="00C557CF"/>
    <w:rsid w:val="00D07EC0"/>
    <w:rsid w:val="00D34075"/>
    <w:rsid w:val="00D71743"/>
    <w:rsid w:val="00E42586"/>
    <w:rsid w:val="00FB3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78"/>
    <w:pPr>
      <w:widowControl w:val="0"/>
      <w:jc w:val="both"/>
    </w:pPr>
    <w:rPr>
      <w:rFonts w:ascii="Calibri" w:eastAsia="宋体" w:hAnsi="Calibri" w:cs="Times New Roman"/>
    </w:rPr>
  </w:style>
  <w:style w:type="paragraph" w:styleId="6">
    <w:name w:val="heading 6"/>
    <w:basedOn w:val="a"/>
    <w:next w:val="a"/>
    <w:link w:val="6Char"/>
    <w:qFormat/>
    <w:rsid w:val="00214B78"/>
    <w:pPr>
      <w:keepNext/>
      <w:keepLines/>
      <w:numPr>
        <w:ilvl w:val="5"/>
        <w:numId w:val="1"/>
      </w:numPr>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B78"/>
    <w:rPr>
      <w:sz w:val="18"/>
      <w:szCs w:val="18"/>
    </w:rPr>
  </w:style>
  <w:style w:type="paragraph" w:styleId="a4">
    <w:name w:val="footer"/>
    <w:basedOn w:val="a"/>
    <w:link w:val="Char0"/>
    <w:unhideWhenUsed/>
    <w:rsid w:val="00214B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B78"/>
    <w:rPr>
      <w:sz w:val="18"/>
      <w:szCs w:val="18"/>
    </w:rPr>
  </w:style>
  <w:style w:type="character" w:customStyle="1" w:styleId="6Char">
    <w:name w:val="标题 6 Char"/>
    <w:basedOn w:val="a0"/>
    <w:link w:val="6"/>
    <w:rsid w:val="00214B78"/>
    <w:rPr>
      <w:rFonts w:ascii="Arial" w:eastAsia="黑体" w:hAnsi="Arial" w:cs="Times New Roman"/>
      <w:b/>
      <w:bCs/>
      <w:sz w:val="24"/>
      <w:szCs w:val="24"/>
    </w:rPr>
  </w:style>
  <w:style w:type="character" w:styleId="a5">
    <w:name w:val="page number"/>
    <w:basedOn w:val="a0"/>
    <w:rsid w:val="00214B78"/>
  </w:style>
  <w:style w:type="character" w:customStyle="1" w:styleId="Char1">
    <w:name w:val="纯文本 Char"/>
    <w:aliases w:val="普通文字 Char Char1,纯文本 Char Char Char,普通文字 Char Char Char1,普通文字1 Char,普通文字2 Char,普通文字3 Char,普通文字4 Char,普通文字5 Char,普通文字6 Char,普通文字11 Char,普通文字21 Char,普通文字31 Char,普通文字41 Char,普通文字7 Char,正 文 1 Char,普通文字 Char1,普通文字 Char Char Char Char1,Plain Text Char"/>
    <w:link w:val="a6"/>
    <w:rsid w:val="00214B78"/>
    <w:rPr>
      <w:rFonts w:ascii="宋体" w:hAnsi="Courier New"/>
    </w:rPr>
  </w:style>
  <w:style w:type="paragraph" w:styleId="a6">
    <w:name w:val="Plain Text"/>
    <w:aliases w:val="普通文字 Char,纯文本 Char Char,普通文字 Char Char,普通文字1,普通文字2,普通文字3,普通文字4,普通文字5,普通文字6,普通文字11,普通文字21,普通文字31,普通文字41,普通文字7,正 文 1,普通文字,普通文字 Char Char Char,普通文字 Char Char Char Char,Plain Text"/>
    <w:basedOn w:val="a"/>
    <w:link w:val="Char1"/>
    <w:rsid w:val="00214B78"/>
    <w:pPr>
      <w:tabs>
        <w:tab w:val="num" w:pos="720"/>
        <w:tab w:val="left" w:pos="1320"/>
      </w:tabs>
      <w:ind w:left="720" w:hanging="720"/>
    </w:pPr>
    <w:rPr>
      <w:rFonts w:ascii="宋体" w:eastAsiaTheme="minorEastAsia" w:hAnsi="Courier New" w:cstheme="minorBidi"/>
    </w:rPr>
  </w:style>
  <w:style w:type="character" w:customStyle="1" w:styleId="Char10">
    <w:name w:val="纯文本 Char1"/>
    <w:basedOn w:val="a0"/>
    <w:link w:val="a6"/>
    <w:uiPriority w:val="99"/>
    <w:semiHidden/>
    <w:rsid w:val="00214B78"/>
    <w:rPr>
      <w:rFonts w:ascii="宋体" w:eastAsia="宋体" w:hAnsi="Courier New" w:cs="Courier New"/>
      <w:szCs w:val="21"/>
    </w:rPr>
  </w:style>
  <w:style w:type="paragraph" w:customStyle="1" w:styleId="xiaob">
    <w:name w:val="xiao b"/>
    <w:basedOn w:val="a"/>
    <w:rsid w:val="00214B78"/>
    <w:pPr>
      <w:jc w:val="center"/>
    </w:pPr>
    <w:rPr>
      <w:rFonts w:ascii="Times New Roman" w:eastAsia="黑体" w:hAnsi="Times New Roman"/>
      <w:sz w:val="24"/>
      <w:szCs w:val="24"/>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 + 宋体,行距: 1.5 倍行距,左  0.85 字符,body text,鋘drad,???änd,bt"/>
    <w:basedOn w:val="a"/>
    <w:rsid w:val="00806478"/>
    <w:pPr>
      <w:autoSpaceDE w:val="0"/>
      <w:autoSpaceDN w:val="0"/>
      <w:adjustRightInd w:val="0"/>
      <w:ind w:firstLine="420"/>
      <w:jc w:val="left"/>
    </w:pPr>
    <w:rPr>
      <w:rFonts w:ascii="宋体" w:hAnsi="Times New Roman"/>
      <w:kern w:val="0"/>
      <w:sz w:val="24"/>
      <w:szCs w:val="20"/>
    </w:rPr>
  </w:style>
  <w:style w:type="paragraph" w:customStyle="1" w:styleId="a8">
    <w:name w:val="标准文本"/>
    <w:basedOn w:val="a"/>
    <w:link w:val="Char2"/>
    <w:qFormat/>
    <w:rsid w:val="00806478"/>
    <w:pPr>
      <w:ind w:firstLineChars="200" w:firstLine="420"/>
    </w:pPr>
    <w:rPr>
      <w:rFonts w:ascii="宋体" w:hAnsi="Times New Roman"/>
      <w:szCs w:val="21"/>
    </w:rPr>
  </w:style>
  <w:style w:type="character" w:customStyle="1" w:styleId="Char2">
    <w:name w:val="标准文本 Char"/>
    <w:link w:val="a8"/>
    <w:rsid w:val="00806478"/>
    <w:rPr>
      <w:rFonts w:ascii="宋体" w:eastAsia="宋体" w:hAnsi="Times New Roman" w:cs="Times New Roman"/>
      <w:szCs w:val="21"/>
    </w:rPr>
  </w:style>
  <w:style w:type="paragraph" w:styleId="a9">
    <w:name w:val="Body Text"/>
    <w:basedOn w:val="a"/>
    <w:link w:val="Char3"/>
    <w:rsid w:val="00806478"/>
    <w:pPr>
      <w:tabs>
        <w:tab w:val="left" w:pos="567"/>
      </w:tabs>
      <w:spacing w:before="120" w:line="22" w:lineRule="atLeast"/>
    </w:pPr>
    <w:rPr>
      <w:rFonts w:ascii="宋体" w:hAnsi="宋体"/>
      <w:sz w:val="24"/>
      <w:szCs w:val="20"/>
    </w:rPr>
  </w:style>
  <w:style w:type="character" w:customStyle="1" w:styleId="Char3">
    <w:name w:val="正文文本 Char"/>
    <w:basedOn w:val="a0"/>
    <w:link w:val="a9"/>
    <w:rsid w:val="00806478"/>
    <w:rPr>
      <w:rFonts w:ascii="宋体" w:eastAsia="宋体" w:hAnsi="宋体" w:cs="Times New Roman"/>
      <w:sz w:val="24"/>
      <w:szCs w:val="20"/>
    </w:rPr>
  </w:style>
</w:styles>
</file>

<file path=word/webSettings.xml><?xml version="1.0" encoding="utf-8"?>
<w:webSettings xmlns:r="http://schemas.openxmlformats.org/officeDocument/2006/relationships" xmlns:w="http://schemas.openxmlformats.org/wordprocessingml/2006/main">
  <w:divs>
    <w:div w:id="4102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868</Words>
  <Characters>4952</Characters>
  <Application>Microsoft Office Word</Application>
  <DocSecurity>0</DocSecurity>
  <Lines>41</Lines>
  <Paragraphs>11</Paragraphs>
  <ScaleCrop>false</ScaleCrop>
  <Company>Micorosoft</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戎蕾</dc:creator>
  <cp:lastModifiedBy>戎蕾</cp:lastModifiedBy>
  <cp:revision>9</cp:revision>
  <dcterms:created xsi:type="dcterms:W3CDTF">2020-05-07T02:42:00Z</dcterms:created>
  <dcterms:modified xsi:type="dcterms:W3CDTF">2020-06-18T07:23:00Z</dcterms:modified>
</cp:coreProperties>
</file>